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49F" w:rsidRDefault="00B77214" w:rsidP="00B77214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:rsidR="00A352F6" w:rsidRPr="00ED0D18" w:rsidRDefault="00A352F6" w:rsidP="00A352F6">
      <w:pPr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81336C">
        <w:rPr>
          <w:rFonts w:eastAsia="Times New Roman"/>
          <w:b/>
          <w:sz w:val="36"/>
          <w:szCs w:val="36"/>
        </w:rPr>
        <w:t>1</w:t>
      </w:r>
    </w:p>
    <w:p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4254F4" w:rsidRPr="00ED0D18">
        <w:rPr>
          <w:rFonts w:eastAsia="Georgia" w:cs="Arial"/>
          <w:b/>
          <w:sz w:val="36"/>
          <w:szCs w:val="36"/>
        </w:rPr>
        <w:t>ELEMENTI MINIMI DEGLI AVVISI / BANDI</w:t>
      </w:r>
      <w:r w:rsidRPr="00ED0D18">
        <w:rPr>
          <w:rFonts w:eastAsia="Georgia" w:cs="Arial"/>
          <w:b/>
          <w:sz w:val="36"/>
          <w:szCs w:val="36"/>
        </w:rPr>
        <w:t>”</w:t>
      </w:r>
    </w:p>
    <w:p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:rsidR="000761A2" w:rsidRPr="000F1DBE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:rsidR="004475BE" w:rsidRDefault="004475BE" w:rsidP="004475BE">
      <w:pPr>
        <w:spacing w:before="60" w:after="60"/>
        <w:ind w:left="4500"/>
        <w:jc w:val="center"/>
        <w:rPr>
          <w:b/>
          <w:sz w:val="18"/>
          <w:szCs w:val="18"/>
        </w:rPr>
      </w:pPr>
    </w:p>
    <w:tbl>
      <w:tblPr>
        <w:tblW w:w="8683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4485"/>
        <w:gridCol w:w="4198"/>
      </w:tblGrid>
      <w:tr w:rsidR="00302021" w:rsidRPr="000346A1" w:rsidTr="00F17067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302021" w:rsidRPr="000346A1" w:rsidRDefault="00302021" w:rsidP="00F17067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Scheda di Conformità</w:t>
            </w:r>
          </w:p>
        </w:tc>
        <w:tc>
          <w:tcPr>
            <w:tcW w:w="4198" w:type="dxa"/>
            <w:vAlign w:val="center"/>
          </w:tcPr>
          <w:p w:rsidR="00302021" w:rsidRPr="000346A1" w:rsidRDefault="00302021" w:rsidP="001E729A">
            <w:pPr>
              <w:rPr>
                <w:i/>
              </w:rPr>
            </w:pPr>
            <w:r w:rsidRPr="000346A1">
              <w:rPr>
                <w:i/>
                <w:color w:val="17365D" w:themeColor="text2" w:themeShade="BF"/>
              </w:rPr>
              <w:t xml:space="preserve">Scheda </w:t>
            </w:r>
            <w:r w:rsidRPr="00381C0E">
              <w:rPr>
                <w:b/>
                <w:i/>
                <w:color w:val="17365D" w:themeColor="text2" w:themeShade="BF"/>
              </w:rPr>
              <w:t>Allegato 1</w:t>
            </w:r>
            <w:r w:rsidR="001E729A" w:rsidRPr="00381C0E">
              <w:rPr>
                <w:b/>
                <w:i/>
                <w:color w:val="17365D" w:themeColor="text2" w:themeShade="BF"/>
              </w:rPr>
              <w:t>A</w:t>
            </w:r>
            <w:r w:rsidR="00856899">
              <w:rPr>
                <w:i/>
                <w:color w:val="17365D" w:themeColor="text2" w:themeShade="BF"/>
              </w:rPr>
              <w:t xml:space="preserve"> di cui </w:t>
            </w:r>
            <w:r w:rsidR="007A50E2">
              <w:rPr>
                <w:i/>
                <w:color w:val="17365D" w:themeColor="text2" w:themeShade="BF"/>
              </w:rPr>
              <w:t>al Manuale delle Procedure dell’Autorità di Gestione del POR FESR 2014-2020</w:t>
            </w:r>
          </w:p>
        </w:tc>
      </w:tr>
      <w:tr w:rsidR="001645AC" w:rsidRPr="000346A1" w:rsidTr="007F0446">
        <w:trPr>
          <w:cantSplit/>
          <w:trHeight w:val="1837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1645AC" w:rsidRPr="000346A1" w:rsidRDefault="001645AC" w:rsidP="007574EB">
            <w:pPr>
              <w:rPr>
                <w:b/>
                <w:color w:val="17365D" w:themeColor="text2" w:themeShade="BF"/>
              </w:rPr>
            </w:pPr>
            <w:r w:rsidRPr="00700E6A">
              <w:rPr>
                <w:b/>
                <w:color w:val="17365D" w:themeColor="text2" w:themeShade="BF"/>
              </w:rPr>
              <w:t xml:space="preserve">Riferimento alle norme nazionali ed europee </w:t>
            </w:r>
            <w:r w:rsidRPr="000346A1">
              <w:rPr>
                <w:b/>
                <w:color w:val="17365D" w:themeColor="text2" w:themeShade="BF"/>
              </w:rPr>
              <w:t>e dei principi generali del Reg. (UE) 1303/2013 (pari opportunità tra uomini e donne, non discriminazione)</w:t>
            </w:r>
          </w:p>
        </w:tc>
        <w:tc>
          <w:tcPr>
            <w:tcW w:w="4198" w:type="dxa"/>
            <w:vAlign w:val="center"/>
          </w:tcPr>
          <w:p w:rsidR="007574EB" w:rsidRDefault="007574EB" w:rsidP="007F0446">
            <w:pPr>
              <w:rPr>
                <w:i/>
                <w:color w:val="17365D" w:themeColor="text2" w:themeShade="BF"/>
              </w:rPr>
            </w:pPr>
            <w:r>
              <w:rPr>
                <w:i/>
                <w:color w:val="17365D" w:themeColor="text2" w:themeShade="BF"/>
              </w:rPr>
              <w:t xml:space="preserve">Normativa su </w:t>
            </w:r>
            <w:r w:rsidRPr="007574EB">
              <w:rPr>
                <w:i/>
                <w:color w:val="17365D" w:themeColor="text2" w:themeShade="BF"/>
              </w:rPr>
              <w:t>appalti pubblici, aiuti di Stato, norme ambientali, etc.</w:t>
            </w:r>
          </w:p>
          <w:p w:rsidR="007574EB" w:rsidRPr="000346A1" w:rsidRDefault="007574EB" w:rsidP="007F0446">
            <w:pPr>
              <w:rPr>
                <w:i/>
                <w:color w:val="17365D" w:themeColor="text2" w:themeShade="BF"/>
              </w:rPr>
            </w:pPr>
            <w:r w:rsidRPr="000346A1">
              <w:rPr>
                <w:i/>
                <w:color w:val="17365D" w:themeColor="text2" w:themeShade="BF"/>
              </w:rPr>
              <w:t xml:space="preserve">Reg. (UE) </w:t>
            </w:r>
            <w:r w:rsidR="005233A5">
              <w:rPr>
                <w:i/>
                <w:color w:val="17365D" w:themeColor="text2" w:themeShade="BF"/>
              </w:rPr>
              <w:t xml:space="preserve">n. </w:t>
            </w:r>
            <w:r w:rsidRPr="000346A1">
              <w:rPr>
                <w:i/>
                <w:color w:val="17365D" w:themeColor="text2" w:themeShade="BF"/>
              </w:rPr>
              <w:t>1303/2013</w:t>
            </w:r>
          </w:p>
        </w:tc>
      </w:tr>
      <w:tr w:rsidR="007455B9" w:rsidRPr="000346A1" w:rsidTr="002538C4">
        <w:trPr>
          <w:cantSplit/>
          <w:trHeight w:val="1104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7455B9" w:rsidRPr="000346A1" w:rsidRDefault="007455B9" w:rsidP="007455B9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Descrizione dell’intervento </w:t>
            </w:r>
          </w:p>
        </w:tc>
        <w:tc>
          <w:tcPr>
            <w:tcW w:w="4198" w:type="dxa"/>
            <w:vAlign w:val="center"/>
          </w:tcPr>
          <w:p w:rsidR="007455B9" w:rsidRPr="000346A1" w:rsidRDefault="007455B9" w:rsidP="007F0446">
            <w:pPr>
              <w:rPr>
                <w:i/>
                <w:color w:val="17365D" w:themeColor="text2" w:themeShade="BF"/>
              </w:rPr>
            </w:pPr>
          </w:p>
        </w:tc>
      </w:tr>
      <w:tr w:rsidR="007455B9" w:rsidRPr="000346A1" w:rsidTr="002538C4">
        <w:trPr>
          <w:cantSplit/>
          <w:trHeight w:val="1120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7455B9" w:rsidRPr="000346A1" w:rsidRDefault="007455B9" w:rsidP="007F0446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Descrizione degli obiettivi e delle finalità </w:t>
            </w:r>
          </w:p>
        </w:tc>
        <w:tc>
          <w:tcPr>
            <w:tcW w:w="4198" w:type="dxa"/>
            <w:vAlign w:val="center"/>
          </w:tcPr>
          <w:p w:rsidR="007455B9" w:rsidRPr="000346A1" w:rsidRDefault="007455B9" w:rsidP="007F0446">
            <w:pPr>
              <w:rPr>
                <w:i/>
                <w:color w:val="17365D" w:themeColor="text2" w:themeShade="BF"/>
              </w:rPr>
            </w:pPr>
          </w:p>
        </w:tc>
      </w:tr>
      <w:tr w:rsidR="00302021" w:rsidRPr="000346A1" w:rsidTr="00F17067">
        <w:trPr>
          <w:cantSplit/>
          <w:trHeight w:val="1975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302021" w:rsidRPr="000346A1" w:rsidRDefault="00302021" w:rsidP="005C5E20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Individuazione delle </w:t>
            </w:r>
            <w:r w:rsidRPr="000346A1">
              <w:rPr>
                <w:b/>
                <w:bCs/>
                <w:color w:val="17365D" w:themeColor="text2" w:themeShade="BF"/>
              </w:rPr>
              <w:t xml:space="preserve">risorse </w:t>
            </w:r>
            <w:r w:rsidR="007455B9" w:rsidRPr="000346A1">
              <w:rPr>
                <w:b/>
                <w:bCs/>
                <w:color w:val="17365D" w:themeColor="text2" w:themeShade="BF"/>
              </w:rPr>
              <w:t xml:space="preserve">finanziarie </w:t>
            </w:r>
            <w:r w:rsidRPr="000346A1">
              <w:rPr>
                <w:b/>
                <w:bCs/>
                <w:color w:val="17365D" w:themeColor="text2" w:themeShade="BF"/>
              </w:rPr>
              <w:t>disponibili e</w:t>
            </w:r>
            <w:r w:rsidR="005C5E20">
              <w:rPr>
                <w:b/>
                <w:bCs/>
                <w:color w:val="17365D" w:themeColor="text2" w:themeShade="BF"/>
              </w:rPr>
              <w:t xml:space="preserve"> dei</w:t>
            </w:r>
            <w:r w:rsidRPr="000346A1">
              <w:rPr>
                <w:b/>
                <w:bCs/>
                <w:color w:val="17365D" w:themeColor="text2" w:themeShade="BF"/>
              </w:rPr>
              <w:t xml:space="preserve"> vincoli finanziari: risorse assegnate (impegnate su bilancio regionale) a copertura dell’avviso/bando in coerenza con il Piano Finanziario del PO</w:t>
            </w:r>
            <w:r w:rsidRPr="000346A1">
              <w:rPr>
                <w:b/>
                <w:color w:val="17365D" w:themeColor="text2" w:themeShade="BF"/>
              </w:rPr>
              <w:t xml:space="preserve"> e la rispettiva linea di </w:t>
            </w:r>
            <w:r w:rsidR="005C5E20">
              <w:rPr>
                <w:b/>
                <w:color w:val="17365D" w:themeColor="text2" w:themeShade="BF"/>
              </w:rPr>
              <w:t>A</w:t>
            </w:r>
            <w:r w:rsidR="005C5E20" w:rsidRPr="000346A1">
              <w:rPr>
                <w:b/>
                <w:color w:val="17365D" w:themeColor="text2" w:themeShade="BF"/>
              </w:rPr>
              <w:t>zione</w:t>
            </w:r>
          </w:p>
        </w:tc>
        <w:tc>
          <w:tcPr>
            <w:tcW w:w="4198" w:type="dxa"/>
            <w:vAlign w:val="center"/>
          </w:tcPr>
          <w:p w:rsidR="00302021" w:rsidRPr="000346A1" w:rsidRDefault="00302021" w:rsidP="00F17067">
            <w:pPr>
              <w:rPr>
                <w:i/>
                <w:color w:val="17365D" w:themeColor="text2" w:themeShade="BF"/>
              </w:rPr>
            </w:pPr>
          </w:p>
        </w:tc>
      </w:tr>
      <w:tr w:rsidR="007455B9" w:rsidRPr="000346A1" w:rsidTr="007F0446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7455B9" w:rsidRPr="000346A1" w:rsidRDefault="007455B9" w:rsidP="007F0446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lastRenderedPageBreak/>
              <w:t xml:space="preserve">Definizioni </w:t>
            </w:r>
          </w:p>
        </w:tc>
        <w:tc>
          <w:tcPr>
            <w:tcW w:w="4198" w:type="dxa"/>
            <w:vAlign w:val="center"/>
          </w:tcPr>
          <w:p w:rsidR="007455B9" w:rsidRPr="000346A1" w:rsidRDefault="007455B9" w:rsidP="007F0446">
            <w:pPr>
              <w:rPr>
                <w:i/>
                <w:color w:val="17365D" w:themeColor="text2" w:themeShade="BF"/>
              </w:rPr>
            </w:pPr>
          </w:p>
        </w:tc>
      </w:tr>
      <w:tr w:rsidR="00C17F71" w:rsidRPr="000346A1" w:rsidTr="007F0446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C17F71" w:rsidRPr="000346A1" w:rsidRDefault="00C17F71" w:rsidP="007F0446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Individuazione delle condizionalità ex ante</w:t>
            </w:r>
          </w:p>
        </w:tc>
        <w:tc>
          <w:tcPr>
            <w:tcW w:w="4198" w:type="dxa"/>
            <w:vAlign w:val="center"/>
          </w:tcPr>
          <w:p w:rsidR="00C17F71" w:rsidRPr="000346A1" w:rsidRDefault="00C17F71" w:rsidP="007F0446">
            <w:pPr>
              <w:rPr>
                <w:i/>
                <w:color w:val="17365D" w:themeColor="text2" w:themeShade="BF"/>
              </w:rPr>
            </w:pPr>
          </w:p>
        </w:tc>
      </w:tr>
      <w:tr w:rsidR="00302021" w:rsidRPr="000346A1" w:rsidTr="00F17067">
        <w:trPr>
          <w:cantSplit/>
          <w:trHeight w:val="1537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302021" w:rsidRPr="000346A1" w:rsidRDefault="00302021" w:rsidP="00F17067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Individuazione dei </w:t>
            </w:r>
            <w:r w:rsidR="005C5E20">
              <w:rPr>
                <w:b/>
                <w:color w:val="17365D" w:themeColor="text2" w:themeShade="BF"/>
              </w:rPr>
              <w:t>r</w:t>
            </w:r>
            <w:r w:rsidR="005C5E20" w:rsidRPr="000346A1">
              <w:rPr>
                <w:b/>
                <w:color w:val="17365D" w:themeColor="text2" w:themeShade="BF"/>
              </w:rPr>
              <w:t xml:space="preserve">equisiti </w:t>
            </w:r>
            <w:r w:rsidRPr="000346A1">
              <w:rPr>
                <w:b/>
                <w:color w:val="17365D" w:themeColor="text2" w:themeShade="BF"/>
              </w:rPr>
              <w:t>di ammissibilità:</w:t>
            </w:r>
          </w:p>
          <w:p w:rsidR="00302021" w:rsidRPr="000346A1" w:rsidRDefault="00302021" w:rsidP="00302021">
            <w:pPr>
              <w:pStyle w:val="Paragrafoelenco"/>
              <w:numPr>
                <w:ilvl w:val="0"/>
                <w:numId w:val="13"/>
              </w:num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Soggetti beneficiari </w:t>
            </w:r>
          </w:p>
          <w:p w:rsidR="00302021" w:rsidRPr="000346A1" w:rsidRDefault="00302021" w:rsidP="00C17F71">
            <w:pPr>
              <w:pStyle w:val="Paragrafoelenco"/>
              <w:numPr>
                <w:ilvl w:val="0"/>
                <w:numId w:val="13"/>
              </w:num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Interventi/iniziative </w:t>
            </w:r>
          </w:p>
        </w:tc>
        <w:tc>
          <w:tcPr>
            <w:tcW w:w="4198" w:type="dxa"/>
            <w:vAlign w:val="center"/>
          </w:tcPr>
          <w:p w:rsidR="00302021" w:rsidRPr="000346A1" w:rsidRDefault="00302021" w:rsidP="00F17067">
            <w:pPr>
              <w:rPr>
                <w:i/>
                <w:color w:val="17365D" w:themeColor="text2" w:themeShade="BF"/>
              </w:rPr>
            </w:pPr>
          </w:p>
          <w:p w:rsidR="0066266D" w:rsidRPr="000346A1" w:rsidRDefault="0066266D" w:rsidP="00F17067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CC4D97">
        <w:trPr>
          <w:cantSplit/>
          <w:trHeight w:val="400"/>
          <w:jc w:val="center"/>
        </w:trPr>
        <w:tc>
          <w:tcPr>
            <w:tcW w:w="4485" w:type="dxa"/>
            <w:shd w:val="clear" w:color="auto" w:fill="C6D9F1"/>
            <w:vAlign w:val="center"/>
          </w:tcPr>
          <w:p w:rsidR="00540AC7" w:rsidRPr="000346A1" w:rsidRDefault="00540AC7" w:rsidP="00CC4D97">
            <w:pPr>
              <w:pStyle w:val="Paragrafoelenco"/>
              <w:suppressAutoHyphens/>
              <w:ind w:left="0"/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Definizione intensità massima del finanziamento ammissibile</w:t>
            </w:r>
          </w:p>
        </w:tc>
        <w:tc>
          <w:tcPr>
            <w:tcW w:w="4198" w:type="dxa"/>
            <w:vAlign w:val="center"/>
          </w:tcPr>
          <w:p w:rsidR="00540AC7" w:rsidRPr="000346A1" w:rsidRDefault="00540AC7" w:rsidP="00CC4D97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CC4D97">
        <w:trPr>
          <w:cantSplit/>
          <w:trHeight w:val="400"/>
          <w:jc w:val="center"/>
        </w:trPr>
        <w:tc>
          <w:tcPr>
            <w:tcW w:w="4485" w:type="dxa"/>
            <w:shd w:val="clear" w:color="auto" w:fill="C6D9F1"/>
            <w:vAlign w:val="center"/>
          </w:tcPr>
          <w:p w:rsidR="00540AC7" w:rsidRPr="002538C4" w:rsidRDefault="00540AC7" w:rsidP="002538C4">
            <w:pPr>
              <w:pStyle w:val="Paragrafoelenco"/>
              <w:suppressAutoHyphens/>
              <w:ind w:left="0"/>
              <w:jc w:val="right"/>
              <w:rPr>
                <w:b/>
                <w:bCs/>
                <w:i/>
                <w:color w:val="17365D" w:themeColor="text2" w:themeShade="BF"/>
              </w:rPr>
            </w:pPr>
            <w:r w:rsidRPr="002538C4">
              <w:rPr>
                <w:b/>
                <w:bCs/>
                <w:i/>
                <w:color w:val="17365D" w:themeColor="text2" w:themeShade="BF"/>
              </w:rPr>
              <w:t>Aiuti di Stato</w:t>
            </w:r>
          </w:p>
        </w:tc>
        <w:tc>
          <w:tcPr>
            <w:tcW w:w="4198" w:type="dxa"/>
            <w:vAlign w:val="center"/>
          </w:tcPr>
          <w:p w:rsidR="00540AC7" w:rsidRPr="000346A1" w:rsidRDefault="00540AC7" w:rsidP="00CC4D97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CC4D97">
        <w:trPr>
          <w:cantSplit/>
          <w:trHeight w:val="400"/>
          <w:jc w:val="center"/>
        </w:trPr>
        <w:tc>
          <w:tcPr>
            <w:tcW w:w="4485" w:type="dxa"/>
            <w:shd w:val="clear" w:color="auto" w:fill="C6D9F1"/>
            <w:vAlign w:val="center"/>
          </w:tcPr>
          <w:p w:rsidR="00540AC7" w:rsidRPr="002538C4" w:rsidRDefault="00540AC7" w:rsidP="002538C4">
            <w:pPr>
              <w:pStyle w:val="Paragrafoelenco"/>
              <w:suppressAutoHyphens/>
              <w:ind w:left="0"/>
              <w:jc w:val="right"/>
              <w:rPr>
                <w:b/>
                <w:bCs/>
                <w:i/>
                <w:color w:val="17365D" w:themeColor="text2" w:themeShade="BF"/>
              </w:rPr>
            </w:pPr>
            <w:r w:rsidRPr="002538C4">
              <w:rPr>
                <w:b/>
                <w:bCs/>
                <w:i/>
                <w:color w:val="17365D" w:themeColor="text2" w:themeShade="BF"/>
              </w:rPr>
              <w:t>Non Aiuti di Stato</w:t>
            </w:r>
          </w:p>
        </w:tc>
        <w:tc>
          <w:tcPr>
            <w:tcW w:w="4198" w:type="dxa"/>
            <w:vAlign w:val="center"/>
          </w:tcPr>
          <w:p w:rsidR="00540AC7" w:rsidRPr="000346A1" w:rsidRDefault="00540AC7" w:rsidP="00CC4D97">
            <w:pPr>
              <w:rPr>
                <w:i/>
                <w:color w:val="17365D" w:themeColor="text2" w:themeShade="BF"/>
              </w:rPr>
            </w:pPr>
          </w:p>
        </w:tc>
      </w:tr>
      <w:tr w:rsidR="00A67B3D" w:rsidRPr="000346A1" w:rsidTr="00CC4D97">
        <w:trPr>
          <w:cantSplit/>
          <w:trHeight w:val="400"/>
          <w:jc w:val="center"/>
        </w:trPr>
        <w:tc>
          <w:tcPr>
            <w:tcW w:w="4485" w:type="dxa"/>
            <w:shd w:val="clear" w:color="auto" w:fill="C6D9F1"/>
            <w:vAlign w:val="center"/>
          </w:tcPr>
          <w:p w:rsidR="00A67B3D" w:rsidRPr="00A67B3D" w:rsidRDefault="00A67B3D" w:rsidP="002538C4">
            <w:pPr>
              <w:pStyle w:val="Paragrafoelenco"/>
              <w:suppressAutoHyphens/>
              <w:ind w:left="0"/>
              <w:rPr>
                <w:b/>
                <w:bCs/>
                <w:i/>
                <w:color w:val="17365D" w:themeColor="text2" w:themeShade="BF"/>
              </w:rPr>
            </w:pPr>
            <w:r>
              <w:rPr>
                <w:b/>
                <w:bCs/>
                <w:i/>
                <w:color w:val="17365D" w:themeColor="text2" w:themeShade="BF"/>
              </w:rPr>
              <w:t>Specifiche presc</w:t>
            </w:r>
            <w:r w:rsidR="00B342BE">
              <w:rPr>
                <w:b/>
                <w:bCs/>
                <w:i/>
                <w:color w:val="17365D" w:themeColor="text2" w:themeShade="BF"/>
              </w:rPr>
              <w:t>rizioni in materia di Aiuti di S</w:t>
            </w:r>
            <w:r>
              <w:rPr>
                <w:b/>
                <w:bCs/>
                <w:i/>
                <w:color w:val="17365D" w:themeColor="text2" w:themeShade="BF"/>
              </w:rPr>
              <w:t>tato</w:t>
            </w:r>
          </w:p>
        </w:tc>
        <w:tc>
          <w:tcPr>
            <w:tcW w:w="4198" w:type="dxa"/>
            <w:vAlign w:val="center"/>
          </w:tcPr>
          <w:p w:rsidR="00A67B3D" w:rsidRPr="000346A1" w:rsidRDefault="00A67B3D" w:rsidP="00CC4D97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2538C4">
        <w:trPr>
          <w:cantSplit/>
          <w:trHeight w:val="1353"/>
          <w:jc w:val="center"/>
        </w:trPr>
        <w:tc>
          <w:tcPr>
            <w:tcW w:w="4485" w:type="dxa"/>
            <w:shd w:val="clear" w:color="auto" w:fill="C6D9F1"/>
            <w:vAlign w:val="center"/>
          </w:tcPr>
          <w:p w:rsidR="00540AC7" w:rsidRPr="000346A1" w:rsidRDefault="00540AC7" w:rsidP="00540AC7">
            <w:pPr>
              <w:pStyle w:val="Paragrafoelenco"/>
              <w:suppressAutoHyphens/>
              <w:ind w:left="0"/>
              <w:rPr>
                <w:b/>
                <w:bCs/>
                <w:color w:val="17365D" w:themeColor="text2" w:themeShade="BF"/>
              </w:rPr>
            </w:pPr>
            <w:r w:rsidRPr="000346A1">
              <w:rPr>
                <w:b/>
                <w:bCs/>
                <w:color w:val="17365D" w:themeColor="text2" w:themeShade="BF"/>
              </w:rPr>
              <w:t>Tipologia di spese</w:t>
            </w:r>
            <w:r w:rsidR="004D20B9" w:rsidRPr="000346A1">
              <w:rPr>
                <w:b/>
                <w:bCs/>
                <w:color w:val="17365D" w:themeColor="text2" w:themeShade="BF"/>
              </w:rPr>
              <w:t xml:space="preserve"> / costi</w:t>
            </w:r>
            <w:r w:rsidRPr="000346A1">
              <w:rPr>
                <w:b/>
                <w:bCs/>
                <w:color w:val="17365D" w:themeColor="text2" w:themeShade="BF"/>
              </w:rPr>
              <w:t xml:space="preserve"> ammissibili</w:t>
            </w:r>
          </w:p>
        </w:tc>
        <w:tc>
          <w:tcPr>
            <w:tcW w:w="4198" w:type="dxa"/>
            <w:vAlign w:val="center"/>
          </w:tcPr>
          <w:p w:rsidR="00540AC7" w:rsidRPr="000346A1" w:rsidRDefault="00540AC7" w:rsidP="00540AC7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F17067">
        <w:trPr>
          <w:cantSplit/>
          <w:trHeight w:val="1539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540AC7" w:rsidRPr="000346A1" w:rsidRDefault="00540AC7" w:rsidP="00540AC7">
            <w:pPr>
              <w:rPr>
                <w:b/>
                <w:bCs/>
                <w:color w:val="17365D" w:themeColor="text2" w:themeShade="BF"/>
              </w:rPr>
            </w:pPr>
            <w:r w:rsidRPr="000346A1">
              <w:rPr>
                <w:b/>
                <w:bCs/>
                <w:color w:val="17365D" w:themeColor="text2" w:themeShade="BF"/>
              </w:rPr>
              <w:t xml:space="preserve">Procedura di presentazione delle </w:t>
            </w:r>
            <w:r w:rsidR="00954571" w:rsidRPr="000346A1">
              <w:rPr>
                <w:b/>
                <w:bCs/>
                <w:color w:val="17365D" w:themeColor="text2" w:themeShade="BF"/>
              </w:rPr>
              <w:t>istanze</w:t>
            </w:r>
            <w:r w:rsidRPr="000346A1">
              <w:rPr>
                <w:b/>
                <w:bCs/>
                <w:color w:val="17365D" w:themeColor="text2" w:themeShade="BF"/>
              </w:rPr>
              <w:t>:</w:t>
            </w:r>
          </w:p>
          <w:p w:rsidR="008325DE" w:rsidRPr="002538C4" w:rsidRDefault="007455B9" w:rsidP="00540AC7">
            <w:pPr>
              <w:pStyle w:val="Paragrafoelenco"/>
              <w:numPr>
                <w:ilvl w:val="0"/>
                <w:numId w:val="12"/>
              </w:numPr>
              <w:rPr>
                <w:b/>
                <w:color w:val="17365D" w:themeColor="text2" w:themeShade="BF"/>
              </w:rPr>
            </w:pPr>
            <w:r w:rsidRPr="000346A1">
              <w:rPr>
                <w:b/>
                <w:bCs/>
                <w:color w:val="17365D" w:themeColor="text2" w:themeShade="BF"/>
              </w:rPr>
              <w:t xml:space="preserve">modalità </w:t>
            </w:r>
            <w:r w:rsidR="00262A80">
              <w:rPr>
                <w:b/>
                <w:bCs/>
                <w:color w:val="17365D" w:themeColor="text2" w:themeShade="BF"/>
              </w:rPr>
              <w:t>di invio;</w:t>
            </w:r>
          </w:p>
          <w:p w:rsidR="00540AC7" w:rsidRPr="000346A1" w:rsidRDefault="00F93F54" w:rsidP="00540AC7">
            <w:pPr>
              <w:pStyle w:val="Paragrafoelenco"/>
              <w:numPr>
                <w:ilvl w:val="0"/>
                <w:numId w:val="12"/>
              </w:numPr>
              <w:rPr>
                <w:b/>
                <w:color w:val="17365D" w:themeColor="text2" w:themeShade="BF"/>
              </w:rPr>
            </w:pPr>
            <w:r>
              <w:rPr>
                <w:b/>
                <w:bCs/>
                <w:color w:val="17365D" w:themeColor="text2" w:themeShade="BF"/>
              </w:rPr>
              <w:t>m</w:t>
            </w:r>
            <w:r w:rsidR="008325DE" w:rsidRPr="002538C4">
              <w:rPr>
                <w:b/>
                <w:bCs/>
                <w:color w:val="17365D" w:themeColor="text2" w:themeShade="BF"/>
              </w:rPr>
              <w:t xml:space="preserve">odulistica </w:t>
            </w:r>
            <w:r w:rsidRPr="00F93F54">
              <w:rPr>
                <w:b/>
                <w:bCs/>
                <w:color w:val="17365D" w:themeColor="text2" w:themeShade="BF"/>
              </w:rPr>
              <w:t xml:space="preserve">prevista e documentazione da </w:t>
            </w:r>
            <w:r w:rsidR="008325DE" w:rsidRPr="002538C4">
              <w:rPr>
                <w:b/>
                <w:bCs/>
                <w:color w:val="17365D" w:themeColor="text2" w:themeShade="BF"/>
              </w:rPr>
              <w:t>allegare</w:t>
            </w:r>
            <w:r w:rsidR="00262A80">
              <w:rPr>
                <w:b/>
                <w:bCs/>
                <w:color w:val="17365D" w:themeColor="text2" w:themeShade="BF"/>
              </w:rPr>
              <w:t>;</w:t>
            </w:r>
          </w:p>
          <w:p w:rsidR="00540AC7" w:rsidRPr="000346A1" w:rsidRDefault="008325DE" w:rsidP="0095734C">
            <w:pPr>
              <w:pStyle w:val="Paragrafoelenco"/>
              <w:numPr>
                <w:ilvl w:val="0"/>
                <w:numId w:val="12"/>
              </w:numPr>
              <w:rPr>
                <w:b/>
                <w:color w:val="17365D" w:themeColor="text2" w:themeShade="BF"/>
              </w:rPr>
            </w:pPr>
            <w:r w:rsidRPr="002538C4">
              <w:rPr>
                <w:b/>
                <w:bCs/>
                <w:color w:val="17365D" w:themeColor="text2" w:themeShade="BF"/>
              </w:rPr>
              <w:t xml:space="preserve">termini </w:t>
            </w:r>
            <w:r w:rsidR="000E698C" w:rsidRPr="002538C4">
              <w:rPr>
                <w:b/>
                <w:bCs/>
                <w:color w:val="17365D" w:themeColor="text2" w:themeShade="BF"/>
              </w:rPr>
              <w:t>e scadenze</w:t>
            </w:r>
            <w:r w:rsidR="00262A80">
              <w:rPr>
                <w:b/>
                <w:bCs/>
                <w:color w:val="17365D" w:themeColor="text2" w:themeShade="BF"/>
              </w:rPr>
              <w:t>.</w:t>
            </w:r>
          </w:p>
        </w:tc>
        <w:tc>
          <w:tcPr>
            <w:tcW w:w="4198" w:type="dxa"/>
            <w:vAlign w:val="center"/>
          </w:tcPr>
          <w:p w:rsidR="00954571" w:rsidRPr="002538C4" w:rsidRDefault="00954571" w:rsidP="002538C4">
            <w:pPr>
              <w:rPr>
                <w:color w:val="244061" w:themeColor="accent1" w:themeShade="80"/>
              </w:rPr>
            </w:pPr>
          </w:p>
        </w:tc>
      </w:tr>
      <w:tr w:rsidR="00540AC7" w:rsidRPr="000346A1" w:rsidTr="00F17067">
        <w:trPr>
          <w:cantSplit/>
          <w:trHeight w:val="1270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540AC7" w:rsidRPr="000346A1" w:rsidRDefault="00540AC7" w:rsidP="00540AC7">
            <w:pPr>
              <w:suppressAutoHyphens/>
              <w:rPr>
                <w:b/>
                <w:bCs/>
                <w:color w:val="17365D" w:themeColor="text2" w:themeShade="BF"/>
              </w:rPr>
            </w:pPr>
            <w:r w:rsidRPr="000346A1">
              <w:rPr>
                <w:b/>
                <w:bCs/>
                <w:color w:val="17365D" w:themeColor="text2" w:themeShade="BF"/>
              </w:rPr>
              <w:t xml:space="preserve">Criteri di ricevibilità delle domande </w:t>
            </w:r>
          </w:p>
        </w:tc>
        <w:tc>
          <w:tcPr>
            <w:tcW w:w="4198" w:type="dxa"/>
            <w:vMerge w:val="restart"/>
            <w:vAlign w:val="center"/>
          </w:tcPr>
          <w:p w:rsidR="00540AC7" w:rsidRPr="000346A1" w:rsidRDefault="00540AC7" w:rsidP="00540AC7">
            <w:pPr>
              <w:rPr>
                <w:bCs/>
                <w:i/>
                <w:color w:val="17365D" w:themeColor="text2" w:themeShade="BF"/>
              </w:rPr>
            </w:pPr>
            <w:r w:rsidRPr="000346A1">
              <w:rPr>
                <w:bCs/>
                <w:i/>
                <w:color w:val="17365D" w:themeColor="text2" w:themeShade="BF"/>
              </w:rPr>
              <w:t>Metodologia e criteri per la selezione delle operazioni, approvati dal C</w:t>
            </w:r>
            <w:r w:rsidR="00097556">
              <w:rPr>
                <w:bCs/>
                <w:i/>
                <w:color w:val="17365D" w:themeColor="text2" w:themeShade="BF"/>
              </w:rPr>
              <w:t>omitato di Sorveglianza Unico FESR-FSE.</w:t>
            </w:r>
          </w:p>
        </w:tc>
      </w:tr>
      <w:tr w:rsidR="00540AC7" w:rsidRPr="000346A1" w:rsidTr="00F17067">
        <w:trPr>
          <w:cantSplit/>
          <w:trHeight w:val="1261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540AC7" w:rsidRPr="000346A1" w:rsidRDefault="00540AC7" w:rsidP="00540AC7">
            <w:pPr>
              <w:suppressAutoHyphens/>
              <w:rPr>
                <w:b/>
                <w:bCs/>
                <w:color w:val="17365D" w:themeColor="text2" w:themeShade="BF"/>
              </w:rPr>
            </w:pPr>
            <w:r w:rsidRPr="000346A1">
              <w:rPr>
                <w:b/>
                <w:bCs/>
                <w:color w:val="17365D" w:themeColor="text2" w:themeShade="BF"/>
              </w:rPr>
              <w:lastRenderedPageBreak/>
              <w:t>Criteri di selezione / valutazione dei progetti</w:t>
            </w:r>
          </w:p>
        </w:tc>
        <w:tc>
          <w:tcPr>
            <w:tcW w:w="4198" w:type="dxa"/>
            <w:vMerge/>
            <w:vAlign w:val="center"/>
          </w:tcPr>
          <w:p w:rsidR="00540AC7" w:rsidRPr="000346A1" w:rsidRDefault="00540AC7" w:rsidP="00540AC7">
            <w:pPr>
              <w:rPr>
                <w:bCs/>
                <w:i/>
                <w:color w:val="17365D" w:themeColor="text2" w:themeShade="BF"/>
              </w:rPr>
            </w:pPr>
          </w:p>
        </w:tc>
      </w:tr>
      <w:tr w:rsidR="00540AC7" w:rsidRPr="000346A1" w:rsidTr="00F17067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540AC7" w:rsidRPr="000346A1" w:rsidRDefault="00540AC7" w:rsidP="00540AC7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Individuazione delle cause di esclusione </w:t>
            </w:r>
          </w:p>
        </w:tc>
        <w:tc>
          <w:tcPr>
            <w:tcW w:w="4198" w:type="dxa"/>
            <w:vAlign w:val="center"/>
          </w:tcPr>
          <w:p w:rsidR="00540AC7" w:rsidRPr="000346A1" w:rsidRDefault="00540AC7" w:rsidP="00540AC7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F17067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540AC7" w:rsidRPr="000346A1" w:rsidRDefault="00540AC7" w:rsidP="00662921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Tempiprevisti per la conclusione delle istruttorie</w:t>
            </w:r>
            <w:r w:rsidR="00662921" w:rsidRPr="000346A1">
              <w:rPr>
                <w:b/>
                <w:color w:val="17365D" w:themeColor="text2" w:themeShade="BF"/>
              </w:rPr>
              <w:t xml:space="preserve"> e approvazione della grad</w:t>
            </w:r>
            <w:r w:rsidR="00662921" w:rsidRPr="002538C4">
              <w:rPr>
                <w:b/>
                <w:color w:val="17365D" w:themeColor="text2" w:themeShade="BF"/>
              </w:rPr>
              <w:t>u</w:t>
            </w:r>
            <w:r w:rsidR="00662921" w:rsidRPr="000346A1">
              <w:rPr>
                <w:b/>
                <w:color w:val="17365D" w:themeColor="text2" w:themeShade="BF"/>
              </w:rPr>
              <w:t>atoria</w:t>
            </w:r>
          </w:p>
        </w:tc>
        <w:tc>
          <w:tcPr>
            <w:tcW w:w="4198" w:type="dxa"/>
            <w:vAlign w:val="center"/>
          </w:tcPr>
          <w:p w:rsidR="00540AC7" w:rsidRPr="000346A1" w:rsidRDefault="00540AC7" w:rsidP="00540AC7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F17067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540AC7" w:rsidRPr="000346A1" w:rsidRDefault="00540AC7" w:rsidP="00540AC7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Modalità di erogazione del finanziamento: adempimenti e modulistica per la rendicontazione</w:t>
            </w:r>
          </w:p>
        </w:tc>
        <w:tc>
          <w:tcPr>
            <w:tcW w:w="4198" w:type="dxa"/>
            <w:vAlign w:val="center"/>
          </w:tcPr>
          <w:p w:rsidR="00540AC7" w:rsidRPr="000346A1" w:rsidRDefault="00540AC7" w:rsidP="00540AC7">
            <w:pPr>
              <w:rPr>
                <w:i/>
                <w:color w:val="17365D" w:themeColor="text2" w:themeShade="BF"/>
              </w:rPr>
            </w:pPr>
          </w:p>
        </w:tc>
      </w:tr>
      <w:tr w:rsidR="0094542B" w:rsidRPr="000346A1" w:rsidTr="007F0446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94542B" w:rsidRPr="000346A1" w:rsidRDefault="0094542B" w:rsidP="007F0446">
            <w:pPr>
              <w:rPr>
                <w:b/>
                <w:color w:val="17365D" w:themeColor="text2" w:themeShade="BF"/>
              </w:rPr>
            </w:pPr>
            <w:r w:rsidRPr="002538C4">
              <w:rPr>
                <w:b/>
                <w:color w:val="17365D" w:themeColor="text2" w:themeShade="BF"/>
              </w:rPr>
              <w:t>Controlli e monitoraggio: adempimenti a carico del RdA e del beneficiario</w:t>
            </w:r>
          </w:p>
        </w:tc>
        <w:tc>
          <w:tcPr>
            <w:tcW w:w="4198" w:type="dxa"/>
            <w:vAlign w:val="center"/>
          </w:tcPr>
          <w:p w:rsidR="0094542B" w:rsidRPr="000346A1" w:rsidRDefault="0094542B" w:rsidP="007F0446">
            <w:pPr>
              <w:rPr>
                <w:i/>
                <w:color w:val="17365D" w:themeColor="text2" w:themeShade="BF"/>
              </w:rPr>
            </w:pPr>
          </w:p>
        </w:tc>
      </w:tr>
      <w:tr w:rsidR="0094542B" w:rsidRPr="000346A1" w:rsidTr="007F0446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94542B" w:rsidRPr="000346A1" w:rsidRDefault="0094542B" w:rsidP="007F0446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Individuazione delle cause di revoca (parziale / totale)</w:t>
            </w:r>
          </w:p>
        </w:tc>
        <w:tc>
          <w:tcPr>
            <w:tcW w:w="4198" w:type="dxa"/>
            <w:vAlign w:val="center"/>
          </w:tcPr>
          <w:p w:rsidR="0094542B" w:rsidRPr="000346A1" w:rsidRDefault="0094542B" w:rsidP="007F0446">
            <w:pPr>
              <w:rPr>
                <w:i/>
                <w:color w:val="17365D" w:themeColor="text2" w:themeShade="BF"/>
              </w:rPr>
            </w:pPr>
          </w:p>
        </w:tc>
      </w:tr>
      <w:tr w:rsidR="00540AC7" w:rsidRPr="000346A1" w:rsidTr="00CC4D97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DA0D4D" w:rsidRPr="00262A80" w:rsidRDefault="00DA0D4D" w:rsidP="00540AC7">
            <w:pPr>
              <w:rPr>
                <w:b/>
                <w:color w:val="17365D" w:themeColor="text2" w:themeShade="BF"/>
              </w:rPr>
            </w:pPr>
            <w:r w:rsidRPr="00262A80">
              <w:rPr>
                <w:b/>
                <w:color w:val="17365D" w:themeColor="text2" w:themeShade="BF"/>
              </w:rPr>
              <w:t xml:space="preserve">Atto di Impegno: </w:t>
            </w:r>
          </w:p>
          <w:p w:rsidR="00540AC7" w:rsidRPr="00262A80" w:rsidRDefault="00540AC7" w:rsidP="00540AC7">
            <w:pPr>
              <w:rPr>
                <w:b/>
                <w:color w:val="17365D" w:themeColor="text2" w:themeShade="BF"/>
              </w:rPr>
            </w:pPr>
            <w:r w:rsidRPr="00262A80">
              <w:rPr>
                <w:b/>
                <w:color w:val="17365D" w:themeColor="text2" w:themeShade="BF"/>
              </w:rPr>
              <w:t>Obblighi e impegni del soggetto attuatore / beneficiario con le specifiche inerenti:</w:t>
            </w:r>
          </w:p>
          <w:p w:rsidR="006632CA" w:rsidRPr="00262A80" w:rsidRDefault="00540AC7" w:rsidP="002538C4">
            <w:pPr>
              <w:pStyle w:val="Paragrafoelenco"/>
              <w:numPr>
                <w:ilvl w:val="0"/>
                <w:numId w:val="14"/>
              </w:numPr>
              <w:rPr>
                <w:b/>
                <w:color w:val="17365D" w:themeColor="text2" w:themeShade="BF"/>
              </w:rPr>
            </w:pPr>
            <w:r w:rsidRPr="00262A80">
              <w:rPr>
                <w:b/>
                <w:color w:val="17365D" w:themeColor="text2" w:themeShade="BF"/>
              </w:rPr>
              <w:t>prodotti e servizi da realizzare</w:t>
            </w:r>
            <w:r w:rsidR="00B84D46">
              <w:rPr>
                <w:b/>
                <w:color w:val="17365D" w:themeColor="text2" w:themeShade="BF"/>
              </w:rPr>
              <w:t>;</w:t>
            </w:r>
          </w:p>
          <w:p w:rsidR="004D20B9" w:rsidRPr="00262A80" w:rsidRDefault="00540AC7" w:rsidP="002538C4">
            <w:pPr>
              <w:pStyle w:val="Paragrafoelenco"/>
              <w:numPr>
                <w:ilvl w:val="0"/>
                <w:numId w:val="14"/>
              </w:numPr>
              <w:rPr>
                <w:b/>
                <w:color w:val="17365D" w:themeColor="text2" w:themeShade="BF"/>
              </w:rPr>
            </w:pPr>
            <w:r w:rsidRPr="002538C4">
              <w:rPr>
                <w:b/>
                <w:color w:val="17365D" w:themeColor="text2" w:themeShade="BF"/>
              </w:rPr>
              <w:t>termini entro cui avviare le attività ed entro cui concluderle, calcolati dalla data di avvio delle stesse e i termini entro cui rendicontarle (termini per l’esecuzione)</w:t>
            </w:r>
            <w:r w:rsidR="00B84D46">
              <w:rPr>
                <w:b/>
                <w:color w:val="17365D" w:themeColor="text2" w:themeShade="BF"/>
              </w:rPr>
              <w:t>;</w:t>
            </w:r>
          </w:p>
          <w:p w:rsidR="00540AC7" w:rsidRPr="002538C4" w:rsidRDefault="004D20B9" w:rsidP="002538C4">
            <w:pPr>
              <w:pStyle w:val="Paragrafoelenco"/>
              <w:numPr>
                <w:ilvl w:val="0"/>
                <w:numId w:val="14"/>
              </w:numPr>
              <w:rPr>
                <w:b/>
                <w:color w:val="17365D" w:themeColor="text2" w:themeShade="BF"/>
              </w:rPr>
            </w:pPr>
            <w:r w:rsidRPr="002538C4">
              <w:rPr>
                <w:b/>
                <w:color w:val="17365D" w:themeColor="text2" w:themeShade="BF"/>
              </w:rPr>
              <w:t>piano finanziario</w:t>
            </w:r>
          </w:p>
        </w:tc>
        <w:tc>
          <w:tcPr>
            <w:tcW w:w="4198" w:type="dxa"/>
            <w:vAlign w:val="center"/>
          </w:tcPr>
          <w:p w:rsidR="00540AC7" w:rsidRPr="000346A1" w:rsidRDefault="00713382">
            <w:pPr>
              <w:rPr>
                <w:i/>
                <w:color w:val="17365D" w:themeColor="text2" w:themeShade="BF"/>
              </w:rPr>
            </w:pPr>
            <w:r w:rsidRPr="002538C4">
              <w:rPr>
                <w:i/>
                <w:color w:val="17365D" w:themeColor="text2" w:themeShade="BF"/>
                <w:lang w:val="en-US"/>
              </w:rPr>
              <w:t xml:space="preserve">Art. 125 par. 3) lett. c) Reg. </w:t>
            </w:r>
            <w:r>
              <w:rPr>
                <w:i/>
                <w:color w:val="17365D" w:themeColor="text2" w:themeShade="BF"/>
              </w:rPr>
              <w:t xml:space="preserve">(UE) </w:t>
            </w:r>
            <w:r w:rsidR="005233A5">
              <w:rPr>
                <w:i/>
                <w:color w:val="17365D" w:themeColor="text2" w:themeShade="BF"/>
              </w:rPr>
              <w:t xml:space="preserve">n. </w:t>
            </w:r>
            <w:r>
              <w:rPr>
                <w:i/>
                <w:color w:val="17365D" w:themeColor="text2" w:themeShade="BF"/>
              </w:rPr>
              <w:t>1303/2013</w:t>
            </w:r>
          </w:p>
        </w:tc>
      </w:tr>
      <w:tr w:rsidR="00B84D46" w:rsidRPr="000346A1" w:rsidTr="004E5792">
        <w:trPr>
          <w:cantSplit/>
          <w:trHeight w:val="1475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B84D46" w:rsidRPr="000346A1" w:rsidRDefault="00B84D46" w:rsidP="004E5792">
            <w:pPr>
              <w:rPr>
                <w:b/>
                <w:color w:val="17365D" w:themeColor="text2" w:themeShade="BF"/>
              </w:rPr>
            </w:pPr>
            <w:r>
              <w:rPr>
                <w:b/>
                <w:color w:val="17365D" w:themeColor="text2" w:themeShade="BF"/>
              </w:rPr>
              <w:lastRenderedPageBreak/>
              <w:t>S</w:t>
            </w:r>
            <w:r w:rsidRPr="004E5792">
              <w:rPr>
                <w:b/>
                <w:color w:val="17365D" w:themeColor="text2" w:themeShade="BF"/>
              </w:rPr>
              <w:t>costamento ammissibile per voci di spesa</w:t>
            </w:r>
          </w:p>
        </w:tc>
        <w:tc>
          <w:tcPr>
            <w:tcW w:w="4198" w:type="dxa"/>
            <w:vAlign w:val="center"/>
          </w:tcPr>
          <w:p w:rsidR="00B84D46" w:rsidRPr="000346A1" w:rsidRDefault="00B84D46" w:rsidP="004E5792">
            <w:pPr>
              <w:rPr>
                <w:i/>
                <w:color w:val="17365D" w:themeColor="text2" w:themeShade="BF"/>
              </w:rPr>
            </w:pPr>
          </w:p>
        </w:tc>
      </w:tr>
      <w:tr w:rsidR="0094542B" w:rsidRPr="000346A1" w:rsidTr="007F0446">
        <w:trPr>
          <w:cantSplit/>
          <w:trHeight w:val="1475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94542B" w:rsidRPr="000346A1" w:rsidRDefault="0094542B" w:rsidP="007F0446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Indicazione del Responsabile del procedimento e modalità di gestione dei rapporti tra i RdA e</w:t>
            </w:r>
            <w:r w:rsidR="00262A80">
              <w:rPr>
                <w:b/>
                <w:color w:val="17365D" w:themeColor="text2" w:themeShade="BF"/>
              </w:rPr>
              <w:t>d i</w:t>
            </w:r>
            <w:r w:rsidRPr="000346A1">
              <w:rPr>
                <w:b/>
                <w:color w:val="17365D" w:themeColor="text2" w:themeShade="BF"/>
              </w:rPr>
              <w:t xml:space="preserve"> potenziali beneficiari (comunicazioni, integrazioni, contenziosi</w:t>
            </w:r>
            <w:r w:rsidR="0070065D">
              <w:rPr>
                <w:b/>
                <w:color w:val="17365D" w:themeColor="text2" w:themeShade="BF"/>
              </w:rPr>
              <w:t>, etc</w:t>
            </w:r>
            <w:r w:rsidRPr="000346A1">
              <w:rPr>
                <w:b/>
                <w:color w:val="17365D" w:themeColor="text2" w:themeShade="BF"/>
              </w:rPr>
              <w:t>)</w:t>
            </w:r>
          </w:p>
        </w:tc>
        <w:tc>
          <w:tcPr>
            <w:tcW w:w="4198" w:type="dxa"/>
            <w:vAlign w:val="center"/>
          </w:tcPr>
          <w:p w:rsidR="0094542B" w:rsidRPr="000346A1" w:rsidRDefault="0094542B" w:rsidP="007F0446">
            <w:pPr>
              <w:rPr>
                <w:i/>
                <w:color w:val="17365D" w:themeColor="text2" w:themeShade="BF"/>
              </w:rPr>
            </w:pPr>
          </w:p>
        </w:tc>
      </w:tr>
      <w:tr w:rsidR="0094542B" w:rsidRPr="000346A1" w:rsidTr="007F0446">
        <w:trPr>
          <w:cantSplit/>
          <w:trHeight w:val="1326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94542B" w:rsidRPr="000346A1" w:rsidRDefault="0094542B" w:rsidP="007F0446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Adempimenti in tema di informazione e pubblicità</w:t>
            </w:r>
          </w:p>
        </w:tc>
        <w:tc>
          <w:tcPr>
            <w:tcW w:w="4198" w:type="dxa"/>
            <w:vAlign w:val="center"/>
          </w:tcPr>
          <w:p w:rsidR="0094542B" w:rsidRPr="000346A1" w:rsidRDefault="0094542B" w:rsidP="007F0446">
            <w:pPr>
              <w:rPr>
                <w:i/>
                <w:color w:val="17365D" w:themeColor="text2" w:themeShade="BF"/>
              </w:rPr>
            </w:pPr>
            <w:r w:rsidRPr="000346A1">
              <w:rPr>
                <w:i/>
                <w:color w:val="17365D" w:themeColor="text2" w:themeShade="BF"/>
              </w:rPr>
              <w:t xml:space="preserve">Art. 115 Reg. (UE) </w:t>
            </w:r>
            <w:r w:rsidR="005233A5">
              <w:rPr>
                <w:i/>
                <w:color w:val="17365D" w:themeColor="text2" w:themeShade="BF"/>
              </w:rPr>
              <w:t xml:space="preserve">n. </w:t>
            </w:r>
            <w:r w:rsidRPr="000346A1">
              <w:rPr>
                <w:i/>
                <w:color w:val="17365D" w:themeColor="text2" w:themeShade="BF"/>
              </w:rPr>
              <w:t>1303/2013 “Informazione e comunicazione”</w:t>
            </w:r>
          </w:p>
        </w:tc>
      </w:tr>
      <w:tr w:rsidR="0048010C" w:rsidRPr="000346A1" w:rsidTr="00CC4D97">
        <w:trPr>
          <w:cantSplit/>
          <w:trHeight w:val="1837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48010C" w:rsidRPr="000346A1" w:rsidRDefault="0048010C" w:rsidP="0048010C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Adozione di un sistema di contabilità separata o una codificazione contabile adeguata per le spese relative ad operazioni rimborsate sulla base dei costi ammissibili effettivamente sostenuti</w:t>
            </w:r>
          </w:p>
        </w:tc>
        <w:tc>
          <w:tcPr>
            <w:tcW w:w="4198" w:type="dxa"/>
            <w:vAlign w:val="center"/>
          </w:tcPr>
          <w:p w:rsidR="0048010C" w:rsidRPr="000346A1" w:rsidRDefault="0048010C" w:rsidP="005B0893">
            <w:pPr>
              <w:rPr>
                <w:i/>
                <w:color w:val="17365D" w:themeColor="text2" w:themeShade="BF"/>
              </w:rPr>
            </w:pPr>
            <w:r w:rsidRPr="002538C4">
              <w:rPr>
                <w:i/>
                <w:color w:val="17365D" w:themeColor="text2" w:themeShade="BF"/>
                <w:lang w:val="en-US"/>
              </w:rPr>
              <w:t xml:space="preserve">Art. 125 par. 4 lett. b) Reg. </w:t>
            </w:r>
            <w:r w:rsidR="005B0893" w:rsidRPr="000346A1">
              <w:rPr>
                <w:i/>
                <w:color w:val="17365D" w:themeColor="text2" w:themeShade="BF"/>
              </w:rPr>
              <w:t xml:space="preserve">(UE) </w:t>
            </w:r>
            <w:r w:rsidR="005233A5">
              <w:rPr>
                <w:i/>
                <w:color w:val="17365D" w:themeColor="text2" w:themeShade="BF"/>
              </w:rPr>
              <w:t xml:space="preserve">n. </w:t>
            </w:r>
            <w:r w:rsidR="005B0893" w:rsidRPr="000346A1">
              <w:rPr>
                <w:i/>
                <w:color w:val="17365D" w:themeColor="text2" w:themeShade="BF"/>
              </w:rPr>
              <w:t>1303/2013</w:t>
            </w:r>
          </w:p>
        </w:tc>
      </w:tr>
      <w:tr w:rsidR="0048010C" w:rsidRPr="000346A1" w:rsidTr="00CC4D97">
        <w:trPr>
          <w:cantSplit/>
          <w:trHeight w:val="1330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48010C" w:rsidRPr="000346A1" w:rsidRDefault="0048010C" w:rsidP="0048010C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Adempimenti in tema di modalità di archiviazione e conservazione dei documenti relativi all’operazione</w:t>
            </w:r>
          </w:p>
        </w:tc>
        <w:tc>
          <w:tcPr>
            <w:tcW w:w="4198" w:type="dxa"/>
            <w:vAlign w:val="center"/>
          </w:tcPr>
          <w:p w:rsidR="0048010C" w:rsidRPr="000346A1" w:rsidRDefault="0048010C" w:rsidP="0048010C">
            <w:pPr>
              <w:rPr>
                <w:i/>
                <w:color w:val="17365D" w:themeColor="text2" w:themeShade="BF"/>
              </w:rPr>
            </w:pPr>
            <w:r w:rsidRPr="000346A1">
              <w:rPr>
                <w:i/>
                <w:color w:val="17365D" w:themeColor="text2" w:themeShade="BF"/>
              </w:rPr>
              <w:t xml:space="preserve">Art. 140 Reg. (UE) </w:t>
            </w:r>
            <w:r w:rsidR="005233A5">
              <w:rPr>
                <w:i/>
                <w:color w:val="17365D" w:themeColor="text2" w:themeShade="BF"/>
              </w:rPr>
              <w:t xml:space="preserve">n. </w:t>
            </w:r>
            <w:r w:rsidRPr="000346A1">
              <w:rPr>
                <w:i/>
                <w:color w:val="17365D" w:themeColor="text2" w:themeShade="BF"/>
              </w:rPr>
              <w:t>1303/2013 “Disponibilità dei documenti”</w:t>
            </w:r>
          </w:p>
        </w:tc>
      </w:tr>
      <w:tr w:rsidR="0048010C" w:rsidRPr="000346A1" w:rsidTr="00CC4D97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48010C" w:rsidRPr="000346A1" w:rsidRDefault="0048010C" w:rsidP="0048010C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Inserimento delle condizioni per il rispetto del principio di stabilità dell’operazione</w:t>
            </w:r>
          </w:p>
        </w:tc>
        <w:tc>
          <w:tcPr>
            <w:tcW w:w="4198" w:type="dxa"/>
            <w:vAlign w:val="center"/>
          </w:tcPr>
          <w:p w:rsidR="0048010C" w:rsidRPr="000346A1" w:rsidRDefault="0048010C" w:rsidP="0048010C">
            <w:pPr>
              <w:rPr>
                <w:i/>
                <w:color w:val="17365D" w:themeColor="text2" w:themeShade="BF"/>
              </w:rPr>
            </w:pPr>
            <w:r w:rsidRPr="000346A1">
              <w:rPr>
                <w:i/>
                <w:color w:val="17365D" w:themeColor="text2" w:themeShade="BF"/>
              </w:rPr>
              <w:t xml:space="preserve">Art. 71 Reg. (UE) </w:t>
            </w:r>
            <w:r w:rsidR="006D1286">
              <w:rPr>
                <w:i/>
                <w:color w:val="17365D" w:themeColor="text2" w:themeShade="BF"/>
              </w:rPr>
              <w:t xml:space="preserve">n. </w:t>
            </w:r>
            <w:r w:rsidRPr="000346A1">
              <w:rPr>
                <w:i/>
                <w:color w:val="17365D" w:themeColor="text2" w:themeShade="BF"/>
              </w:rPr>
              <w:t>1303/2013 “Stabilità delle operazioni”</w:t>
            </w:r>
          </w:p>
        </w:tc>
      </w:tr>
      <w:tr w:rsidR="004B2E7E" w:rsidRPr="00EF62FA" w:rsidTr="00B675E0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4B2E7E" w:rsidRPr="000346A1" w:rsidRDefault="004B2E7E" w:rsidP="00B675E0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>Individuazione del divieto del doppio finanziamento delle attività</w:t>
            </w:r>
          </w:p>
        </w:tc>
        <w:tc>
          <w:tcPr>
            <w:tcW w:w="4198" w:type="dxa"/>
            <w:vAlign w:val="center"/>
          </w:tcPr>
          <w:p w:rsidR="004B2E7E" w:rsidRPr="002538C4" w:rsidRDefault="004B2E7E" w:rsidP="00B675E0">
            <w:pPr>
              <w:rPr>
                <w:i/>
                <w:color w:val="17365D" w:themeColor="text2" w:themeShade="BF"/>
                <w:lang w:val="en-US"/>
              </w:rPr>
            </w:pPr>
            <w:r w:rsidRPr="002538C4">
              <w:rPr>
                <w:i/>
                <w:color w:val="17365D" w:themeColor="text2" w:themeShade="BF"/>
                <w:lang w:val="en-US"/>
              </w:rPr>
              <w:t xml:space="preserve">Art. 65 par. 11 Reg. (UE) </w:t>
            </w:r>
            <w:r w:rsidR="006D1286" w:rsidRPr="002538C4">
              <w:rPr>
                <w:i/>
                <w:color w:val="17365D" w:themeColor="text2" w:themeShade="BF"/>
                <w:lang w:val="en-US"/>
              </w:rPr>
              <w:t xml:space="preserve">n. </w:t>
            </w:r>
            <w:r w:rsidRPr="002538C4">
              <w:rPr>
                <w:i/>
                <w:color w:val="17365D" w:themeColor="text2" w:themeShade="BF"/>
                <w:lang w:val="en-US"/>
              </w:rPr>
              <w:t>1303/2013</w:t>
            </w:r>
          </w:p>
        </w:tc>
      </w:tr>
      <w:tr w:rsidR="0048010C" w:rsidRPr="00B3575E" w:rsidTr="00EF62FA">
        <w:trPr>
          <w:cantSplit/>
          <w:trHeight w:val="1263"/>
          <w:jc w:val="center"/>
        </w:trPr>
        <w:tc>
          <w:tcPr>
            <w:tcW w:w="4485" w:type="dxa"/>
            <w:shd w:val="clear" w:color="auto" w:fill="C6D9F1"/>
            <w:vAlign w:val="center"/>
          </w:tcPr>
          <w:p w:rsidR="0048010C" w:rsidRPr="000346A1" w:rsidRDefault="0048010C">
            <w:pPr>
              <w:rPr>
                <w:b/>
                <w:color w:val="17365D" w:themeColor="text2" w:themeShade="BF"/>
              </w:rPr>
            </w:pPr>
            <w:r w:rsidRPr="000346A1">
              <w:rPr>
                <w:b/>
                <w:color w:val="17365D" w:themeColor="text2" w:themeShade="BF"/>
              </w:rPr>
              <w:t xml:space="preserve">Individuazione del </w:t>
            </w:r>
            <w:r w:rsidR="004B2E7E">
              <w:rPr>
                <w:b/>
                <w:color w:val="17365D" w:themeColor="text2" w:themeShade="BF"/>
              </w:rPr>
              <w:t xml:space="preserve">principio di localizzazione dell’opera cofinanziata </w:t>
            </w:r>
          </w:p>
        </w:tc>
        <w:tc>
          <w:tcPr>
            <w:tcW w:w="4198" w:type="dxa"/>
            <w:vAlign w:val="center"/>
          </w:tcPr>
          <w:p w:rsidR="0048010C" w:rsidRPr="00B029B8" w:rsidRDefault="0048010C">
            <w:pPr>
              <w:rPr>
                <w:i/>
                <w:color w:val="17365D" w:themeColor="text2" w:themeShade="BF"/>
              </w:rPr>
            </w:pPr>
            <w:r w:rsidRPr="000346A1">
              <w:rPr>
                <w:i/>
                <w:color w:val="17365D" w:themeColor="text2" w:themeShade="BF"/>
              </w:rPr>
              <w:t xml:space="preserve">Art. </w:t>
            </w:r>
            <w:r w:rsidR="004B2E7E">
              <w:rPr>
                <w:i/>
                <w:color w:val="17365D" w:themeColor="text2" w:themeShade="BF"/>
              </w:rPr>
              <w:t xml:space="preserve">70 </w:t>
            </w:r>
            <w:r w:rsidRPr="000346A1">
              <w:rPr>
                <w:i/>
                <w:color w:val="17365D" w:themeColor="text2" w:themeShade="BF"/>
              </w:rPr>
              <w:t>Reg. (UE)</w:t>
            </w:r>
            <w:r w:rsidR="006D1286">
              <w:rPr>
                <w:i/>
                <w:color w:val="17365D" w:themeColor="text2" w:themeShade="BF"/>
              </w:rPr>
              <w:t xml:space="preserve"> n.</w:t>
            </w:r>
            <w:r w:rsidRPr="000346A1">
              <w:rPr>
                <w:i/>
                <w:color w:val="17365D" w:themeColor="text2" w:themeShade="BF"/>
              </w:rPr>
              <w:t xml:space="preserve"> 1303/2013</w:t>
            </w:r>
          </w:p>
        </w:tc>
      </w:tr>
      <w:tr w:rsidR="00EF62FA" w:rsidRPr="00B3575E" w:rsidTr="00F17067">
        <w:trPr>
          <w:cantSplit/>
          <w:trHeight w:val="1263"/>
          <w:jc w:val="center"/>
        </w:trPr>
        <w:tc>
          <w:tcPr>
            <w:tcW w:w="4485" w:type="dxa"/>
            <w:tcBorders>
              <w:bottom w:val="single" w:sz="4" w:space="0" w:color="17365D"/>
            </w:tcBorders>
            <w:shd w:val="clear" w:color="auto" w:fill="C6D9F1"/>
            <w:vAlign w:val="center"/>
          </w:tcPr>
          <w:p w:rsidR="00EF62FA" w:rsidRPr="007F2958" w:rsidRDefault="00EF62FA">
            <w:pPr>
              <w:rPr>
                <w:b/>
                <w:color w:val="17365D" w:themeColor="text2" w:themeShade="BF"/>
                <w:highlight w:val="yellow"/>
              </w:rPr>
            </w:pPr>
            <w:r w:rsidRPr="00C63456">
              <w:rPr>
                <w:b/>
                <w:color w:val="17365D" w:themeColor="text2" w:themeShade="BF"/>
              </w:rPr>
              <w:t>Inserimento nell’Avviso/Bando/capitolato sia presente la conclusione dei procedimenti al fine di razionalizzare i tempi per lo svolgimento delle attività da parte del beneficiario/affidatario</w:t>
            </w:r>
          </w:p>
        </w:tc>
        <w:tc>
          <w:tcPr>
            <w:tcW w:w="4198" w:type="dxa"/>
            <w:vAlign w:val="center"/>
          </w:tcPr>
          <w:p w:rsidR="00EF62FA" w:rsidRPr="000346A1" w:rsidRDefault="00EF62FA">
            <w:pPr>
              <w:rPr>
                <w:i/>
                <w:color w:val="17365D" w:themeColor="text2" w:themeShade="BF"/>
              </w:rPr>
            </w:pPr>
          </w:p>
        </w:tc>
      </w:tr>
    </w:tbl>
    <w:p w:rsidR="006D1286" w:rsidRPr="00ED0D18" w:rsidRDefault="006D1286" w:rsidP="00E93791">
      <w:pPr>
        <w:spacing w:before="60" w:after="60"/>
        <w:ind w:left="4500"/>
        <w:jc w:val="center"/>
        <w:rPr>
          <w:rFonts w:eastAsia="Georgia" w:cs="Arial"/>
          <w:b/>
          <w:sz w:val="40"/>
          <w:szCs w:val="30"/>
        </w:rPr>
      </w:pPr>
      <w:bookmarkStart w:id="0" w:name="_GoBack"/>
      <w:bookmarkEnd w:id="0"/>
    </w:p>
    <w:sectPr w:rsidR="006D1286" w:rsidRPr="00ED0D18" w:rsidSect="002538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418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969" w:rsidRDefault="00A65969" w:rsidP="00386E59">
      <w:r>
        <w:separator/>
      </w:r>
    </w:p>
  </w:endnote>
  <w:endnote w:type="continuationSeparator" w:id="0">
    <w:p w:rsidR="00A65969" w:rsidRDefault="00A65969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0AF" w:rsidRDefault="00DC70A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5406891"/>
      <w:docPartObj>
        <w:docPartGallery w:val="Page Numbers (Bottom of Page)"/>
        <w:docPartUnique/>
      </w:docPartObj>
    </w:sdtPr>
    <w:sdtEndPr/>
    <w:sdtContent>
      <w:p w:rsidR="00E47762" w:rsidRDefault="00C63456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C70AF" w:rsidRPr="00AF0F84" w:rsidRDefault="00C63456" w:rsidP="00DC70AF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>
        <v:line id="Connettore diritto 4" o:spid="_x0000_s12293" style="position:absolute;left:0;text-align:left;z-index:25166489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:rsidR="00DC70AF" w:rsidRDefault="00DC70AF" w:rsidP="00DC70AF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della Presidenza e Rapporti con L’Europa</w:t>
    </w:r>
  </w:p>
  <w:p w:rsidR="00DC70AF" w:rsidRPr="005D6013" w:rsidRDefault="00DC70AF" w:rsidP="00DC70AF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  <w:r>
      <w:rPr>
        <w:b/>
        <w:i/>
        <w:color w:val="244061" w:themeColor="accent1" w:themeShade="80"/>
        <w:sz w:val="20"/>
      </w:rPr>
      <w:t>, programmazione e coordinamento unitario</w:t>
    </w:r>
  </w:p>
  <w:p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0AF" w:rsidRDefault="00DC70A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969" w:rsidRDefault="00A65969" w:rsidP="00386E59">
      <w:r>
        <w:separator/>
      </w:r>
    </w:p>
  </w:footnote>
  <w:footnote w:type="continuationSeparator" w:id="0">
    <w:p w:rsidR="00A65969" w:rsidRDefault="00A65969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0AF" w:rsidRDefault="00DC70A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691" w:rsidRDefault="008205B6" w:rsidP="00C84337">
    <w:pPr>
      <w:rPr>
        <w:sz w:val="20"/>
      </w:rPr>
    </w:pP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1 </w:t>
    </w:r>
    <w:r w:rsidR="00C63456">
      <w:rPr>
        <w:b/>
        <w:i/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12291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<v:textbox style="mso-fit-shape-to-text:t" inset=",0,,0">
            <w:txbxContent>
              <w:p w:rsidR="009F7A94" w:rsidRPr="002538C4" w:rsidRDefault="00FE0BB8">
                <w:pPr>
                  <w:rPr>
                    <w:b/>
                  </w:rPr>
                </w:pPr>
                <w:r w:rsidRPr="002538C4">
                  <w:rPr>
                    <w:b/>
                  </w:rPr>
                  <w:fldChar w:fldCharType="begin"/>
                </w:r>
                <w:r w:rsidR="009F7A94" w:rsidRPr="00EA695C">
                  <w:rPr>
                    <w:b/>
                  </w:rPr>
                  <w:instrText>PAGE   \* MERGEFORMAT</w:instrText>
                </w:r>
                <w:r w:rsidRPr="002538C4">
                  <w:rPr>
                    <w:b/>
                  </w:rPr>
                  <w:fldChar w:fldCharType="separate"/>
                </w:r>
                <w:r w:rsidR="00C63456">
                  <w:rPr>
                    <w:b/>
                    <w:noProof/>
                  </w:rPr>
                  <w:t>5</w:t>
                </w:r>
                <w:r w:rsidRPr="002538C4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:rsidR="00920551" w:rsidRPr="00920551" w:rsidRDefault="00C63456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>
        <v:line id="Connettore diritto 1" o:spid="_x0000_s12290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8205B6" w:rsidRPr="00FF4A92">
      <w:rPr>
        <w:rFonts w:eastAsia="Georgia" w:cs="Arial"/>
        <w:b/>
        <w:noProof/>
        <w:sz w:val="40"/>
        <w:szCs w:val="30"/>
      </w:rPr>
      <w:drawing>
        <wp:inline distT="0" distB="0" distL="0" distR="0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0AF" w:rsidRDefault="00DC70A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129EB"/>
    <w:multiLevelType w:val="hybridMultilevel"/>
    <w:tmpl w:val="970647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48201B"/>
    <w:multiLevelType w:val="hybridMultilevel"/>
    <w:tmpl w:val="DC80D8B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50024"/>
    <w:multiLevelType w:val="hybridMultilevel"/>
    <w:tmpl w:val="1858599E"/>
    <w:lvl w:ilvl="0" w:tplc="43FA3B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9"/>
  </w:num>
  <w:num w:numId="6">
    <w:abstractNumId w:val="13"/>
  </w:num>
  <w:num w:numId="7">
    <w:abstractNumId w:val="4"/>
  </w:num>
  <w:num w:numId="8">
    <w:abstractNumId w:val="12"/>
  </w:num>
  <w:num w:numId="9">
    <w:abstractNumId w:val="8"/>
  </w:num>
  <w:num w:numId="10">
    <w:abstractNumId w:val="11"/>
  </w:num>
  <w:num w:numId="11">
    <w:abstractNumId w:val="2"/>
  </w:num>
  <w:num w:numId="12">
    <w:abstractNumId w:val="5"/>
  </w:num>
  <w:num w:numId="13">
    <w:abstractNumId w:val="0"/>
  </w:num>
  <w:num w:numId="1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9"/>
  <w:hyphenationZone w:val="283"/>
  <w:characterSpacingControl w:val="doNotCompress"/>
  <w:hdrShapeDefaults>
    <o:shapedefaults v:ext="edit" spidmax="12295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5380"/>
    <w:rsid w:val="000262E6"/>
    <w:rsid w:val="00026BC3"/>
    <w:rsid w:val="0003140B"/>
    <w:rsid w:val="000326B0"/>
    <w:rsid w:val="00032744"/>
    <w:rsid w:val="00033528"/>
    <w:rsid w:val="000337AF"/>
    <w:rsid w:val="000337CE"/>
    <w:rsid w:val="0003408A"/>
    <w:rsid w:val="000346A1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1A1"/>
    <w:rsid w:val="00093430"/>
    <w:rsid w:val="00094FCB"/>
    <w:rsid w:val="00095031"/>
    <w:rsid w:val="00095062"/>
    <w:rsid w:val="00097556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2F67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98C"/>
    <w:rsid w:val="000E6EA2"/>
    <w:rsid w:val="000F005B"/>
    <w:rsid w:val="000F028F"/>
    <w:rsid w:val="000F09D2"/>
    <w:rsid w:val="000F0B51"/>
    <w:rsid w:val="000F1727"/>
    <w:rsid w:val="000F1DBE"/>
    <w:rsid w:val="000F24F7"/>
    <w:rsid w:val="000F2BBD"/>
    <w:rsid w:val="000F327F"/>
    <w:rsid w:val="000F3281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1905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45AC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936"/>
    <w:rsid w:val="001B2E85"/>
    <w:rsid w:val="001B37D6"/>
    <w:rsid w:val="001B419E"/>
    <w:rsid w:val="001B4373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29A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0A3E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8C4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2A80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AB0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1AE0"/>
    <w:rsid w:val="002C2F43"/>
    <w:rsid w:val="002C3321"/>
    <w:rsid w:val="002C3341"/>
    <w:rsid w:val="002C410A"/>
    <w:rsid w:val="002C614C"/>
    <w:rsid w:val="002C6B87"/>
    <w:rsid w:val="002C7878"/>
    <w:rsid w:val="002D026B"/>
    <w:rsid w:val="002D03AF"/>
    <w:rsid w:val="002D298B"/>
    <w:rsid w:val="002D2AE0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3483"/>
    <w:rsid w:val="002E4258"/>
    <w:rsid w:val="002E5DD4"/>
    <w:rsid w:val="002E5F96"/>
    <w:rsid w:val="002E645E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021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133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24F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1C0E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55A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4F4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10C"/>
    <w:rsid w:val="004804CC"/>
    <w:rsid w:val="00480D91"/>
    <w:rsid w:val="00481C10"/>
    <w:rsid w:val="00481E92"/>
    <w:rsid w:val="004829BD"/>
    <w:rsid w:val="00482D9E"/>
    <w:rsid w:val="004834F8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34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2E7E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0B9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E79F6"/>
    <w:rsid w:val="004F0795"/>
    <w:rsid w:val="004F2BC2"/>
    <w:rsid w:val="004F4BC0"/>
    <w:rsid w:val="004F5A2B"/>
    <w:rsid w:val="004F63AF"/>
    <w:rsid w:val="004F764E"/>
    <w:rsid w:val="004F7A5C"/>
    <w:rsid w:val="00500A92"/>
    <w:rsid w:val="0050106A"/>
    <w:rsid w:val="00501573"/>
    <w:rsid w:val="00501F24"/>
    <w:rsid w:val="00501F3D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33A5"/>
    <w:rsid w:val="005250C0"/>
    <w:rsid w:val="005264C6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AC7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617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6CA8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0EE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0893"/>
    <w:rsid w:val="005B1586"/>
    <w:rsid w:val="005B1BB8"/>
    <w:rsid w:val="005B2003"/>
    <w:rsid w:val="005B2156"/>
    <w:rsid w:val="005B2649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C5E20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7CA"/>
    <w:rsid w:val="00603D56"/>
    <w:rsid w:val="00604240"/>
    <w:rsid w:val="00605139"/>
    <w:rsid w:val="0060587F"/>
    <w:rsid w:val="006058DE"/>
    <w:rsid w:val="00607EE3"/>
    <w:rsid w:val="006104F9"/>
    <w:rsid w:val="00610570"/>
    <w:rsid w:val="00610F51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266D"/>
    <w:rsid w:val="00662921"/>
    <w:rsid w:val="006632C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86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3163"/>
    <w:rsid w:val="006E40D7"/>
    <w:rsid w:val="006E4239"/>
    <w:rsid w:val="006E43D8"/>
    <w:rsid w:val="006E486E"/>
    <w:rsid w:val="006E4B0A"/>
    <w:rsid w:val="006E50A1"/>
    <w:rsid w:val="006E560D"/>
    <w:rsid w:val="006E5F95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65D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382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467F"/>
    <w:rsid w:val="0073520A"/>
    <w:rsid w:val="00736454"/>
    <w:rsid w:val="007369E8"/>
    <w:rsid w:val="00736F9A"/>
    <w:rsid w:val="007375A4"/>
    <w:rsid w:val="00737C8C"/>
    <w:rsid w:val="00737FEA"/>
    <w:rsid w:val="00740969"/>
    <w:rsid w:val="0074256A"/>
    <w:rsid w:val="00743605"/>
    <w:rsid w:val="0074527C"/>
    <w:rsid w:val="007455B9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4EB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1E4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43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0E2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A97"/>
    <w:rsid w:val="007E411A"/>
    <w:rsid w:val="007E51C3"/>
    <w:rsid w:val="007E6996"/>
    <w:rsid w:val="007E7341"/>
    <w:rsid w:val="007F0499"/>
    <w:rsid w:val="007F2027"/>
    <w:rsid w:val="007F25A9"/>
    <w:rsid w:val="007F2958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336C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5B6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5DE"/>
    <w:rsid w:val="008333BF"/>
    <w:rsid w:val="00834576"/>
    <w:rsid w:val="00834616"/>
    <w:rsid w:val="00836E14"/>
    <w:rsid w:val="0083791D"/>
    <w:rsid w:val="00840136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548"/>
    <w:rsid w:val="00846D7A"/>
    <w:rsid w:val="008477E1"/>
    <w:rsid w:val="00847D67"/>
    <w:rsid w:val="00850485"/>
    <w:rsid w:val="00851945"/>
    <w:rsid w:val="0085198D"/>
    <w:rsid w:val="008535B9"/>
    <w:rsid w:val="00853653"/>
    <w:rsid w:val="008547F3"/>
    <w:rsid w:val="0085598B"/>
    <w:rsid w:val="008559BD"/>
    <w:rsid w:val="00855D31"/>
    <w:rsid w:val="00855D78"/>
    <w:rsid w:val="00855E3F"/>
    <w:rsid w:val="00856899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0C9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5616"/>
    <w:rsid w:val="008960DD"/>
    <w:rsid w:val="00896396"/>
    <w:rsid w:val="008964B4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3E85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06EF2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1CEC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42B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571"/>
    <w:rsid w:val="00954AEF"/>
    <w:rsid w:val="00954E77"/>
    <w:rsid w:val="009553DF"/>
    <w:rsid w:val="009553E8"/>
    <w:rsid w:val="00956CBA"/>
    <w:rsid w:val="0095700D"/>
    <w:rsid w:val="00957157"/>
    <w:rsid w:val="0095734C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66E2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0572"/>
    <w:rsid w:val="00A6123C"/>
    <w:rsid w:val="00A61C0A"/>
    <w:rsid w:val="00A61C37"/>
    <w:rsid w:val="00A64E42"/>
    <w:rsid w:val="00A65969"/>
    <w:rsid w:val="00A65D69"/>
    <w:rsid w:val="00A65DF3"/>
    <w:rsid w:val="00A675B8"/>
    <w:rsid w:val="00A67B3D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69F2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4C2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4CD7"/>
    <w:rsid w:val="00B254B8"/>
    <w:rsid w:val="00B25E5D"/>
    <w:rsid w:val="00B2671F"/>
    <w:rsid w:val="00B303A6"/>
    <w:rsid w:val="00B321A1"/>
    <w:rsid w:val="00B33A84"/>
    <w:rsid w:val="00B342BE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5A56"/>
    <w:rsid w:val="00B76C88"/>
    <w:rsid w:val="00B77214"/>
    <w:rsid w:val="00B801C9"/>
    <w:rsid w:val="00B81B12"/>
    <w:rsid w:val="00B81DF7"/>
    <w:rsid w:val="00B82BA6"/>
    <w:rsid w:val="00B836E2"/>
    <w:rsid w:val="00B84205"/>
    <w:rsid w:val="00B84D46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3F5B"/>
    <w:rsid w:val="00BE5E06"/>
    <w:rsid w:val="00BE626D"/>
    <w:rsid w:val="00BE79D4"/>
    <w:rsid w:val="00BF1802"/>
    <w:rsid w:val="00BF3003"/>
    <w:rsid w:val="00BF42B0"/>
    <w:rsid w:val="00BF4A0F"/>
    <w:rsid w:val="00BF56C5"/>
    <w:rsid w:val="00BF723E"/>
    <w:rsid w:val="00BF7318"/>
    <w:rsid w:val="00BF7FC8"/>
    <w:rsid w:val="00C018BC"/>
    <w:rsid w:val="00C02077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17F71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3456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0DFB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2C24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CF7CDD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974F8"/>
    <w:rsid w:val="00DA0D4D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70A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119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47762"/>
    <w:rsid w:val="00E50073"/>
    <w:rsid w:val="00E52562"/>
    <w:rsid w:val="00E52D19"/>
    <w:rsid w:val="00E534C6"/>
    <w:rsid w:val="00E542B4"/>
    <w:rsid w:val="00E560AB"/>
    <w:rsid w:val="00E5648B"/>
    <w:rsid w:val="00E613F2"/>
    <w:rsid w:val="00E6140C"/>
    <w:rsid w:val="00E63271"/>
    <w:rsid w:val="00E63399"/>
    <w:rsid w:val="00E63D7D"/>
    <w:rsid w:val="00E63E92"/>
    <w:rsid w:val="00E64D61"/>
    <w:rsid w:val="00E65167"/>
    <w:rsid w:val="00E654DB"/>
    <w:rsid w:val="00E6600A"/>
    <w:rsid w:val="00E6751D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87833"/>
    <w:rsid w:val="00E90AE6"/>
    <w:rsid w:val="00E91EAF"/>
    <w:rsid w:val="00E923E4"/>
    <w:rsid w:val="00E93791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95C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285C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8C7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2FA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17F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B11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77FAC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3F54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BB8"/>
    <w:rsid w:val="00FE0D16"/>
    <w:rsid w:val="00FE0F3A"/>
    <w:rsid w:val="00FE2982"/>
    <w:rsid w:val="00FE3B5F"/>
    <w:rsid w:val="00FE4AE2"/>
    <w:rsid w:val="00FE5E89"/>
    <w:rsid w:val="00FE638E"/>
    <w:rsid w:val="00FE7B4B"/>
    <w:rsid w:val="00FE7B91"/>
    <w:rsid w:val="00FE7C57"/>
    <w:rsid w:val="00FF01EF"/>
    <w:rsid w:val="00FF07CB"/>
    <w:rsid w:val="00FF212E"/>
    <w:rsid w:val="00FF4652"/>
    <w:rsid w:val="00FF4780"/>
    <w:rsid w:val="00FF4C79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5"/>
    <o:shapelayout v:ext="edit">
      <o:idmap v:ext="edit" data="1"/>
    </o:shapelayout>
  </w:shapeDefaults>
  <w:decimalSymbol w:val=","/>
  <w:listSeparator w:val=";"/>
  <w15:docId w15:val="{9FD0CF6D-9B4E-4FC4-819F-EE52257BD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9404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CEBAB-2272-4E87-A9E2-BF0FEC087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Francesca Laschiazza</cp:lastModifiedBy>
  <cp:revision>102</cp:revision>
  <cp:lastPrinted>2018-07-17T15:23:00Z</cp:lastPrinted>
  <dcterms:created xsi:type="dcterms:W3CDTF">2016-10-17T11:34:00Z</dcterms:created>
  <dcterms:modified xsi:type="dcterms:W3CDTF">2018-07-23T09:40:00Z</dcterms:modified>
</cp:coreProperties>
</file>