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BB" w:rsidRPr="00742B23" w:rsidRDefault="00CF3DBB" w:rsidP="00CF3DBB">
      <w:pPr>
        <w:rPr>
          <w:b/>
        </w:rPr>
      </w:pPr>
      <w:r w:rsidRPr="00742B23">
        <w:rPr>
          <w:b/>
        </w:rPr>
        <w:t xml:space="preserve">DIREZIONE AFFARI DELLA PRESIDENZA, </w:t>
      </w:r>
    </w:p>
    <w:p w:rsidR="00CF3DBB" w:rsidRPr="00742B23" w:rsidRDefault="00CF3DBB" w:rsidP="00CF3DBB">
      <w:pPr>
        <w:rPr>
          <w:b/>
        </w:rPr>
      </w:pPr>
      <w:r w:rsidRPr="00742B23">
        <w:rPr>
          <w:b/>
        </w:rPr>
        <w:t>POLITICHE LEGISLATIVE E COMUNITARIE,</w:t>
      </w:r>
      <w:bookmarkStart w:id="0" w:name="_GoBack"/>
      <w:bookmarkEnd w:id="0"/>
    </w:p>
    <w:p w:rsidR="00CF3DBB" w:rsidRPr="00742B23" w:rsidRDefault="00CF3DBB" w:rsidP="00CF3DBB">
      <w:pPr>
        <w:rPr>
          <w:b/>
        </w:rPr>
      </w:pPr>
      <w:r w:rsidRPr="00742B23">
        <w:rPr>
          <w:b/>
        </w:rPr>
        <w:t xml:space="preserve">PROGRAMMAZIONE, PARCHI, TERRITORIO, </w:t>
      </w:r>
    </w:p>
    <w:p w:rsidR="00CF3DBB" w:rsidRPr="00742B23" w:rsidRDefault="00CF3DBB" w:rsidP="00CF3DBB">
      <w:pPr>
        <w:rPr>
          <w:b/>
        </w:rPr>
      </w:pPr>
      <w:r w:rsidRPr="00742B23">
        <w:rPr>
          <w:b/>
        </w:rPr>
        <w:t>AMBIENTE, ENERGIA</w:t>
      </w:r>
    </w:p>
    <w:p w:rsidR="00CF3DBB" w:rsidRPr="00742B23" w:rsidRDefault="00CF3DBB" w:rsidP="00CF3DBB">
      <w:pPr>
        <w:rPr>
          <w:b/>
          <w:i/>
        </w:rPr>
      </w:pPr>
      <w:r w:rsidRPr="00742B23">
        <w:rPr>
          <w:b/>
          <w:i/>
        </w:rPr>
        <w:t>Servizio Affari Giuridici e Legali per l’Ambiente ed il Territorio</w:t>
      </w:r>
    </w:p>
    <w:p w:rsidR="00CF3DBB" w:rsidRPr="00742B23" w:rsidRDefault="00CF3DBB" w:rsidP="00CF3DBB">
      <w:pPr>
        <w:rPr>
          <w:b/>
          <w:sz w:val="22"/>
          <w:szCs w:val="22"/>
        </w:rPr>
      </w:pPr>
      <w:r w:rsidRPr="00742B23">
        <w:rPr>
          <w:b/>
          <w:i/>
          <w:sz w:val="22"/>
          <w:szCs w:val="22"/>
        </w:rPr>
        <w:t>Ufficio Aggiornamento Normativo, Consulenza e Vigilanza</w:t>
      </w:r>
    </w:p>
    <w:p w:rsidR="00CF3DBB" w:rsidRPr="00742B23" w:rsidRDefault="00CF3DBB" w:rsidP="00CF3DBB">
      <w:pPr>
        <w:jc w:val="both"/>
        <w:rPr>
          <w:i/>
          <w:sz w:val="20"/>
          <w:szCs w:val="20"/>
        </w:rPr>
      </w:pPr>
      <w:r w:rsidRPr="00742B23">
        <w:rPr>
          <w:i/>
          <w:sz w:val="20"/>
          <w:szCs w:val="20"/>
        </w:rPr>
        <w:t>Via L. Da Vinci - 67100 L’Aquila</w:t>
      </w:r>
    </w:p>
    <w:p w:rsidR="00CF3DBB" w:rsidRPr="00742B23" w:rsidRDefault="00CF3DBB" w:rsidP="00CF3DBB">
      <w:pPr>
        <w:jc w:val="both"/>
        <w:rPr>
          <w:i/>
          <w:sz w:val="20"/>
          <w:szCs w:val="20"/>
        </w:rPr>
      </w:pPr>
      <w:r w:rsidRPr="00742B23">
        <w:rPr>
          <w:i/>
          <w:sz w:val="20"/>
          <w:szCs w:val="20"/>
        </w:rPr>
        <w:t>tel. 0862/363287-0862/</w:t>
      </w:r>
      <w:proofErr w:type="gramStart"/>
      <w:r w:rsidRPr="00742B23">
        <w:rPr>
          <w:i/>
          <w:sz w:val="20"/>
          <w:szCs w:val="20"/>
        </w:rPr>
        <w:t>363290  fax</w:t>
      </w:r>
      <w:proofErr w:type="gramEnd"/>
      <w:r w:rsidRPr="00742B23">
        <w:rPr>
          <w:i/>
          <w:sz w:val="20"/>
          <w:szCs w:val="20"/>
        </w:rPr>
        <w:t xml:space="preserve"> 0862/363300</w:t>
      </w:r>
    </w:p>
    <w:p w:rsidR="00CF3DBB" w:rsidRPr="00742B23" w:rsidRDefault="00CF3DBB" w:rsidP="00CF3DBB">
      <w:pPr>
        <w:jc w:val="both"/>
        <w:rPr>
          <w:i/>
        </w:rPr>
      </w:pPr>
    </w:p>
    <w:p w:rsidR="00CF3DBB" w:rsidRDefault="00CF3DBB" w:rsidP="00CF3DBB">
      <w:pPr>
        <w:rPr>
          <w:b/>
        </w:rPr>
      </w:pPr>
      <w:proofErr w:type="spellStart"/>
      <w:r w:rsidRPr="00742B23">
        <w:t>Prot</w:t>
      </w:r>
      <w:proofErr w:type="spellEnd"/>
      <w:r w:rsidRPr="00742B23">
        <w:t xml:space="preserve">. </w:t>
      </w:r>
      <w:r w:rsidRPr="00C01EC9">
        <w:rPr>
          <w:b/>
        </w:rPr>
        <w:t xml:space="preserve">n. </w:t>
      </w:r>
      <w:r w:rsidR="00C01EC9" w:rsidRPr="00C01EC9">
        <w:rPr>
          <w:b/>
        </w:rPr>
        <w:t>3814</w:t>
      </w:r>
    </w:p>
    <w:p w:rsidR="00CF3DBB" w:rsidRPr="00D844AC" w:rsidRDefault="00CF3DBB" w:rsidP="00CF3DBB">
      <w:pPr>
        <w:rPr>
          <w:sz w:val="22"/>
          <w:szCs w:val="22"/>
          <w:lang w:val="de-DE"/>
        </w:rPr>
      </w:pPr>
      <w:proofErr w:type="spellStart"/>
      <w:r>
        <w:rPr>
          <w:sz w:val="22"/>
          <w:szCs w:val="22"/>
          <w:lang w:val="de-DE"/>
        </w:rPr>
        <w:t>Rif</w:t>
      </w:r>
      <w:proofErr w:type="spellEnd"/>
      <w:r>
        <w:rPr>
          <w:sz w:val="22"/>
          <w:szCs w:val="22"/>
          <w:lang w:val="de-DE"/>
        </w:rPr>
        <w:t xml:space="preserve">. </w:t>
      </w:r>
      <w:proofErr w:type="gramStart"/>
      <w:r>
        <w:rPr>
          <w:sz w:val="22"/>
          <w:szCs w:val="22"/>
          <w:lang w:val="de-DE"/>
        </w:rPr>
        <w:t>prot</w:t>
      </w:r>
      <w:proofErr w:type="gramEnd"/>
      <w:r>
        <w:rPr>
          <w:sz w:val="22"/>
          <w:szCs w:val="22"/>
          <w:lang w:val="de-DE"/>
        </w:rPr>
        <w:t>. n. 5413</w:t>
      </w:r>
      <w:r w:rsidRPr="00D844AC">
        <w:rPr>
          <w:sz w:val="22"/>
          <w:szCs w:val="22"/>
          <w:lang w:val="de-DE"/>
        </w:rPr>
        <w:t xml:space="preserve"> del </w:t>
      </w:r>
      <w:r>
        <w:rPr>
          <w:sz w:val="22"/>
          <w:szCs w:val="22"/>
          <w:lang w:val="de-DE"/>
        </w:rPr>
        <w:t>25.11.2013</w:t>
      </w:r>
    </w:p>
    <w:p w:rsidR="00CF3DBB" w:rsidRPr="007D52AF" w:rsidRDefault="00CF3DBB" w:rsidP="00CF3DBB">
      <w:pPr>
        <w:rPr>
          <w:sz w:val="22"/>
          <w:szCs w:val="22"/>
          <w:lang w:val="de-DE"/>
        </w:rPr>
      </w:pPr>
      <w:proofErr w:type="spellStart"/>
      <w:r w:rsidRPr="007D52AF">
        <w:rPr>
          <w:sz w:val="22"/>
          <w:szCs w:val="22"/>
          <w:lang w:val="de-DE"/>
        </w:rPr>
        <w:t>Ns</w:t>
      </w:r>
      <w:proofErr w:type="spellEnd"/>
      <w:r w:rsidRPr="007D52AF">
        <w:rPr>
          <w:sz w:val="22"/>
          <w:szCs w:val="22"/>
          <w:lang w:val="de-DE"/>
        </w:rPr>
        <w:t xml:space="preserve">. prot. n. </w:t>
      </w:r>
      <w:r>
        <w:rPr>
          <w:sz w:val="22"/>
          <w:szCs w:val="22"/>
          <w:lang w:val="de-DE"/>
        </w:rPr>
        <w:t>5735</w:t>
      </w:r>
      <w:r w:rsidRPr="007D52AF">
        <w:rPr>
          <w:sz w:val="22"/>
          <w:szCs w:val="22"/>
          <w:lang w:val="de-DE"/>
        </w:rPr>
        <w:t>/AM</w:t>
      </w:r>
      <w:r>
        <w:rPr>
          <w:sz w:val="22"/>
          <w:szCs w:val="22"/>
          <w:lang w:val="de-DE"/>
        </w:rPr>
        <w:t>66093 del 03.12.2013</w:t>
      </w:r>
    </w:p>
    <w:p w:rsidR="00CF3DBB" w:rsidRPr="007D52AF" w:rsidRDefault="00CF3DBB" w:rsidP="00CF3DBB">
      <w:pPr>
        <w:tabs>
          <w:tab w:val="left" w:pos="6240"/>
        </w:tabs>
        <w:rPr>
          <w:lang w:val="de-DE"/>
        </w:rPr>
      </w:pPr>
      <w:r>
        <w:rPr>
          <w:lang w:val="de-DE"/>
        </w:rPr>
        <w:tab/>
      </w:r>
    </w:p>
    <w:p w:rsidR="00CF3DBB" w:rsidRPr="00742B23" w:rsidRDefault="00CF3DBB" w:rsidP="00CF3DBB">
      <w:pPr>
        <w:ind w:left="4248" w:firstLine="708"/>
      </w:pPr>
      <w:r w:rsidRPr="00742B23">
        <w:t>L’Aquila,</w:t>
      </w:r>
      <w:r>
        <w:t xml:space="preserve"> </w:t>
      </w:r>
      <w:r w:rsidR="00C01EC9">
        <w:t>4 settembre 2014</w:t>
      </w:r>
    </w:p>
    <w:p w:rsidR="00CF3DBB" w:rsidRDefault="00CF3DBB" w:rsidP="00CF3DBB"/>
    <w:p w:rsidR="00CF3DBB" w:rsidRPr="00742B23" w:rsidRDefault="00CF3DBB" w:rsidP="00CF3DBB"/>
    <w:p w:rsidR="00CF3DBB" w:rsidRPr="00742B23" w:rsidRDefault="00CF3DBB" w:rsidP="00CF3DBB">
      <w:r w:rsidRPr="00742B23">
        <w:tab/>
      </w:r>
      <w:r w:rsidRPr="00742B23">
        <w:tab/>
      </w:r>
      <w:r w:rsidRPr="00742B23">
        <w:tab/>
      </w:r>
      <w:r w:rsidRPr="00742B23">
        <w:tab/>
      </w:r>
      <w:r w:rsidRPr="00742B23">
        <w:tab/>
      </w:r>
      <w:r w:rsidRPr="00742B23">
        <w:tab/>
      </w:r>
      <w:r w:rsidRPr="00742B23">
        <w:tab/>
      </w:r>
      <w:r w:rsidRPr="00742B23">
        <w:tab/>
        <w:t xml:space="preserve">Al Comune di </w:t>
      </w:r>
      <w:r>
        <w:t>Scanno</w:t>
      </w:r>
    </w:p>
    <w:p w:rsidR="00CF3DBB" w:rsidRDefault="00CF3DBB" w:rsidP="00CF3DBB">
      <w:r w:rsidRPr="00742B23">
        <w:tab/>
      </w:r>
      <w:r w:rsidRPr="00742B23">
        <w:tab/>
      </w:r>
      <w:r w:rsidRPr="00742B23">
        <w:tab/>
      </w:r>
      <w:r w:rsidRPr="00742B23">
        <w:tab/>
      </w:r>
      <w:r w:rsidRPr="00742B23">
        <w:tab/>
      </w:r>
      <w:r w:rsidRPr="00742B23">
        <w:tab/>
      </w:r>
      <w:r w:rsidRPr="00742B23">
        <w:tab/>
      </w:r>
      <w:r w:rsidRPr="00742B23">
        <w:tab/>
      </w:r>
      <w:r>
        <w:t>Area Tecnica - SUER</w:t>
      </w:r>
    </w:p>
    <w:p w:rsidR="00CF3DBB" w:rsidRDefault="00CF3DBB" w:rsidP="00CF3DBB">
      <w:r>
        <w:tab/>
      </w:r>
      <w:r>
        <w:tab/>
      </w:r>
      <w:r>
        <w:tab/>
      </w:r>
      <w:r>
        <w:tab/>
      </w:r>
      <w:r>
        <w:tab/>
      </w:r>
      <w:r>
        <w:tab/>
      </w:r>
      <w:r>
        <w:tab/>
      </w:r>
      <w:r>
        <w:tab/>
        <w:t>Via Napoli</w:t>
      </w:r>
      <w:r w:rsidRPr="00546137">
        <w:t xml:space="preserve">, </w:t>
      </w:r>
      <w:r>
        <w:t>n. 21</w:t>
      </w:r>
    </w:p>
    <w:p w:rsidR="00CF3DBB" w:rsidRDefault="00CF3DBB" w:rsidP="00CF3DBB">
      <w:pPr>
        <w:ind w:left="4956" w:firstLine="708"/>
        <w:rPr>
          <w:b/>
          <w:u w:val="single"/>
        </w:rPr>
      </w:pPr>
      <w:r>
        <w:rPr>
          <w:b/>
          <w:u w:val="single"/>
        </w:rPr>
        <w:t>67038 SCANNO (AQ)</w:t>
      </w:r>
      <w:r w:rsidRPr="00546137">
        <w:rPr>
          <w:b/>
          <w:u w:val="single"/>
        </w:rPr>
        <w:t xml:space="preserve"> </w:t>
      </w:r>
    </w:p>
    <w:p w:rsidR="00E161C0" w:rsidRDefault="00E161C0" w:rsidP="00E161C0">
      <w:pPr>
        <w:rPr>
          <w:b/>
          <w:u w:val="single"/>
        </w:rPr>
      </w:pPr>
    </w:p>
    <w:p w:rsidR="00CF3DBB" w:rsidRDefault="00CF3DBB" w:rsidP="00CF3DBB">
      <w:pPr>
        <w:rPr>
          <w:b/>
          <w:u w:val="single"/>
        </w:rPr>
      </w:pPr>
    </w:p>
    <w:p w:rsidR="00E161C0" w:rsidRDefault="00E161C0" w:rsidP="00CF3DBB">
      <w:r>
        <w:tab/>
      </w:r>
      <w:r>
        <w:tab/>
      </w:r>
      <w:r>
        <w:tab/>
      </w:r>
      <w:r>
        <w:tab/>
      </w:r>
      <w:r>
        <w:tab/>
      </w:r>
      <w:r>
        <w:tab/>
        <w:t xml:space="preserve">E, p.c.             Al Servizio </w:t>
      </w:r>
      <w:r w:rsidRPr="00E161C0">
        <w:t xml:space="preserve">Tutela, Valorizzazione del </w:t>
      </w:r>
    </w:p>
    <w:p w:rsidR="00E161C0" w:rsidRDefault="00E161C0" w:rsidP="00E161C0">
      <w:pPr>
        <w:ind w:left="4956" w:firstLine="708"/>
      </w:pPr>
      <w:r w:rsidRPr="00E161C0">
        <w:t>Paesaggio e Valutazione Ambientale</w:t>
      </w:r>
    </w:p>
    <w:p w:rsidR="00E161C0" w:rsidRPr="00E161C0" w:rsidRDefault="00E161C0" w:rsidP="00E161C0">
      <w:pPr>
        <w:ind w:left="4956" w:firstLine="708"/>
        <w:rPr>
          <w:u w:val="single"/>
        </w:rPr>
      </w:pPr>
      <w:r w:rsidRPr="00E161C0">
        <w:rPr>
          <w:u w:val="single"/>
        </w:rPr>
        <w:t xml:space="preserve">S E D E </w:t>
      </w:r>
    </w:p>
    <w:p w:rsidR="00CF3DBB" w:rsidRDefault="00CF3DBB" w:rsidP="00CF3DBB">
      <w:pPr>
        <w:rPr>
          <w:b/>
          <w:u w:val="single"/>
        </w:rPr>
      </w:pPr>
    </w:p>
    <w:p w:rsidR="00CF3DBB" w:rsidRPr="00EE58FF" w:rsidRDefault="00CF3DBB" w:rsidP="00CF3DBB">
      <w:pPr>
        <w:rPr>
          <w:b/>
          <w:u w:val="single"/>
        </w:rPr>
      </w:pPr>
    </w:p>
    <w:p w:rsidR="00CC2D93" w:rsidRDefault="00CF3DBB" w:rsidP="00CF3DBB">
      <w:r w:rsidRPr="00742B23">
        <w:rPr>
          <w:b/>
        </w:rPr>
        <w:t>Oggetto</w:t>
      </w:r>
      <w:r>
        <w:t xml:space="preserve">: Sanatoria </w:t>
      </w:r>
      <w:r w:rsidR="000F1B73">
        <w:t>opere</w:t>
      </w:r>
      <w:r>
        <w:t xml:space="preserve"> edilizie </w:t>
      </w:r>
      <w:r w:rsidR="000F1B73">
        <w:t>abusive</w:t>
      </w:r>
      <w:r>
        <w:t xml:space="preserve"> realizzate prima dell’</w:t>
      </w:r>
      <w:r w:rsidR="000F1B73">
        <w:t>imposizione</w:t>
      </w:r>
      <w:r>
        <w:t xml:space="preserve"> d</w:t>
      </w:r>
      <w:r w:rsidR="004E53BC">
        <w:t>e</w:t>
      </w:r>
      <w:r>
        <w:t>l vincolo paesistico</w:t>
      </w:r>
      <w:r w:rsidR="004E53BC">
        <w:t xml:space="preserve"> </w:t>
      </w:r>
    </w:p>
    <w:p w:rsidR="00CC2D93" w:rsidRDefault="00CC2D93" w:rsidP="00CC2D93">
      <w:pPr>
        <w:ind w:left="708"/>
      </w:pPr>
      <w:r>
        <w:t xml:space="preserve">    </w:t>
      </w:r>
      <w:proofErr w:type="gramStart"/>
      <w:r w:rsidR="00CF3DBB">
        <w:t>ambientale</w:t>
      </w:r>
      <w:proofErr w:type="gramEnd"/>
      <w:r w:rsidR="00CF3DBB">
        <w:t xml:space="preserve">, richiesta di accertamento di conformità art. 36 D. </w:t>
      </w:r>
      <w:r w:rsidR="00337673">
        <w:t xml:space="preserve">P.R. n. 380/01 </w:t>
      </w:r>
      <w:r>
        <w:t xml:space="preserve">e </w:t>
      </w:r>
      <w:proofErr w:type="spellStart"/>
      <w:r>
        <w:t>s.m.i.</w:t>
      </w:r>
      <w:proofErr w:type="spellEnd"/>
      <w:r>
        <w:t xml:space="preserve"> in</w:t>
      </w:r>
    </w:p>
    <w:p w:rsidR="00CF3DBB" w:rsidRDefault="00CC2D93" w:rsidP="00CC2D93">
      <w:pPr>
        <w:ind w:left="708"/>
      </w:pPr>
      <w:r>
        <w:t xml:space="preserve">    </w:t>
      </w:r>
      <w:proofErr w:type="gramStart"/>
      <w:r w:rsidR="000F1B73">
        <w:t>epoca</w:t>
      </w:r>
      <w:proofErr w:type="gramEnd"/>
      <w:r w:rsidR="000F1B73">
        <w:t xml:space="preserve"> in cui l’area è ricompresa nel vincolo di cui al D. </w:t>
      </w:r>
      <w:proofErr w:type="spellStart"/>
      <w:r w:rsidR="000F1B73">
        <w:t>Lgs</w:t>
      </w:r>
      <w:proofErr w:type="spellEnd"/>
      <w:r w:rsidR="000F1B73">
        <w:t xml:space="preserve">. n. 42/04. </w:t>
      </w:r>
      <w:r w:rsidR="00CF3DBB" w:rsidRPr="00E44306">
        <w:rPr>
          <w:u w:val="single"/>
        </w:rPr>
        <w:t>Riscontro</w:t>
      </w:r>
      <w:r w:rsidR="00CF3DBB">
        <w:rPr>
          <w:u w:val="single"/>
        </w:rPr>
        <w:t xml:space="preserve"> </w:t>
      </w:r>
    </w:p>
    <w:p w:rsidR="00CF3DBB" w:rsidRDefault="00CF3DBB" w:rsidP="00CF3DBB"/>
    <w:p w:rsidR="00CF3DBB" w:rsidRDefault="00CF3DBB" w:rsidP="00CF3DBB"/>
    <w:p w:rsidR="000F1B73" w:rsidRDefault="00CF3DBB" w:rsidP="000F1B73">
      <w:pPr>
        <w:ind w:firstLine="708"/>
        <w:jc w:val="both"/>
      </w:pPr>
      <w:r>
        <w:t xml:space="preserve">Con la nota indicata a margine, di pari oggetto, </w:t>
      </w:r>
      <w:r w:rsidRPr="00A114ED">
        <w:t>codest</w:t>
      </w:r>
      <w:r>
        <w:t xml:space="preserve">o Ufficio Comunale </w:t>
      </w:r>
      <w:r w:rsidRPr="00A114ED">
        <w:t>ha</w:t>
      </w:r>
      <w:r>
        <w:t xml:space="preserve"> formulato una richiesta di chiarimenti </w:t>
      </w:r>
      <w:r w:rsidR="000F1B73">
        <w:t>in ordine ad una istanza di sanatoria avanzata ai sensi dell’art. 36 del D.P.R. n. 380/01, in zona</w:t>
      </w:r>
      <w:r w:rsidR="000B5E66">
        <w:t xml:space="preserve"> </w:t>
      </w:r>
      <w:r w:rsidR="000F1B73">
        <w:t xml:space="preserve">dichiarata di notevole interesse pubblico </w:t>
      </w:r>
      <w:r w:rsidR="000B5E66">
        <w:t xml:space="preserve">successivamente alla data di realizzazione dell’abuso </w:t>
      </w:r>
      <w:r w:rsidR="000F1B73">
        <w:t>ed attualmente soggetta a vincolo paesistico ambientale (decreto del MIBAC del 1985).</w:t>
      </w:r>
    </w:p>
    <w:p w:rsidR="00A24B8C" w:rsidRDefault="000F1B73" w:rsidP="00337673">
      <w:pPr>
        <w:ind w:firstLine="708"/>
        <w:jc w:val="both"/>
      </w:pPr>
      <w:r>
        <w:t xml:space="preserve">Le perplessità </w:t>
      </w:r>
      <w:r w:rsidR="00337673">
        <w:t xml:space="preserve">manifestate nella suddetta nota </w:t>
      </w:r>
      <w:r>
        <w:t>si concentrano sull</w:t>
      </w:r>
      <w:r w:rsidR="00337673">
        <w:t>a non necessità</w:t>
      </w:r>
      <w:r w:rsidR="008E6771">
        <w:t>,</w:t>
      </w:r>
      <w:r w:rsidR="00337673">
        <w:t xml:space="preserve"> asserita dal richiedente la sanatoria, </w:t>
      </w:r>
      <w:r>
        <w:t>del</w:t>
      </w:r>
      <w:r w:rsidR="00337673">
        <w:t>la contestuale richiesta di</w:t>
      </w:r>
      <w:r>
        <w:t xml:space="preserve"> parere ambientale (san</w:t>
      </w:r>
      <w:r w:rsidR="00F518F8">
        <w:t>a</w:t>
      </w:r>
      <w:r>
        <w:t>toria paesaggistica)</w:t>
      </w:r>
      <w:r w:rsidR="00F518F8">
        <w:t xml:space="preserve"> ai s</w:t>
      </w:r>
      <w:r w:rsidR="001C6ABE">
        <w:t>ensi dell’art. 167 del D.</w:t>
      </w:r>
      <w:r w:rsidR="004E53BC">
        <w:t xml:space="preserve"> </w:t>
      </w:r>
      <w:proofErr w:type="spellStart"/>
      <w:r w:rsidR="00337673">
        <w:t>Lgs</w:t>
      </w:r>
      <w:proofErr w:type="spellEnd"/>
      <w:r w:rsidR="00337673">
        <w:t>. n</w:t>
      </w:r>
      <w:r w:rsidR="00F518F8">
        <w:t xml:space="preserve">. 42/04, </w:t>
      </w:r>
      <w:r w:rsidR="00337673">
        <w:t xml:space="preserve">in quanto </w:t>
      </w:r>
      <w:r w:rsidR="00A24B8C">
        <w:t>l’</w:t>
      </w:r>
      <w:r w:rsidR="00337673">
        <w:t>abuso</w:t>
      </w:r>
      <w:r w:rsidR="00A24B8C">
        <w:t xml:space="preserve"> sarebbe stato</w:t>
      </w:r>
      <w:r w:rsidR="00337673">
        <w:t xml:space="preserve"> “</w:t>
      </w:r>
      <w:r w:rsidR="00337673" w:rsidRPr="00337673">
        <w:rPr>
          <w:i/>
        </w:rPr>
        <w:t>commesso prima dell’imposizione del vincolo paesistico-ambientale</w:t>
      </w:r>
      <w:r w:rsidR="00A24B8C">
        <w:t>”.</w:t>
      </w:r>
    </w:p>
    <w:p w:rsidR="00337673" w:rsidRDefault="00337673" w:rsidP="00A24B8C">
      <w:pPr>
        <w:ind w:firstLine="708"/>
        <w:jc w:val="both"/>
      </w:pPr>
      <w:r>
        <w:t xml:space="preserve"> </w:t>
      </w:r>
      <w:r w:rsidR="00A24B8C">
        <w:t>C</w:t>
      </w:r>
      <w:r>
        <w:t>odesto Ufficio</w:t>
      </w:r>
      <w:r w:rsidR="008E6771">
        <w:t xml:space="preserve"> chiede</w:t>
      </w:r>
      <w:r w:rsidR="00A24B8C">
        <w:t xml:space="preserve"> </w:t>
      </w:r>
      <w:r w:rsidR="008E6771">
        <w:t xml:space="preserve">se </w:t>
      </w:r>
      <w:r w:rsidR="001C6ABE">
        <w:t>detta</w:t>
      </w:r>
      <w:r w:rsidR="008E6771">
        <w:t xml:space="preserve"> </w:t>
      </w:r>
      <w:r>
        <w:t>impostazione possa</w:t>
      </w:r>
      <w:r w:rsidR="00AB2242" w:rsidRPr="00AB2242">
        <w:t xml:space="preserve"> </w:t>
      </w:r>
      <w:r w:rsidR="00AB2242">
        <w:t>essere condivisa</w:t>
      </w:r>
      <w:r w:rsidR="001C6ABE">
        <w:t>,</w:t>
      </w:r>
      <w:r>
        <w:t xml:space="preserve"> </w:t>
      </w:r>
      <w:r w:rsidR="008E6771">
        <w:t>nel caso specifico</w:t>
      </w:r>
      <w:r w:rsidR="000B5E66">
        <w:t xml:space="preserve"> rappresentato</w:t>
      </w:r>
      <w:r w:rsidR="00AB2242">
        <w:t xml:space="preserve"> (accertamento di conformità per l’edificazione di autorimessa </w:t>
      </w:r>
      <w:proofErr w:type="spellStart"/>
      <w:r w:rsidR="00AB2242">
        <w:t>seminterrata</w:t>
      </w:r>
      <w:proofErr w:type="spellEnd"/>
      <w:r w:rsidR="00AB2242">
        <w:t xml:space="preserve"> ed ampliamento della superficie residenziale con diversa distribuzione interna, in difformità dalla licenza edilizia originariamente rilasciata)</w:t>
      </w:r>
      <w:r w:rsidR="008E6771">
        <w:t xml:space="preserve"> </w:t>
      </w:r>
      <w:r>
        <w:t xml:space="preserve">e, conseguentemente, se non debba essere irrogata alcuna sanzione amministrativa ai </w:t>
      </w:r>
      <w:r w:rsidR="008E6771">
        <w:t>sensi</w:t>
      </w:r>
      <w:r>
        <w:t xml:space="preserve"> del </w:t>
      </w:r>
      <w:r w:rsidR="008E6771">
        <w:t>medesimo</w:t>
      </w:r>
      <w:r>
        <w:t xml:space="preserve"> D. </w:t>
      </w:r>
      <w:proofErr w:type="spellStart"/>
      <w:r>
        <w:t>Lgs</w:t>
      </w:r>
      <w:proofErr w:type="spellEnd"/>
      <w:r>
        <w:t xml:space="preserve">. n. 42/04. </w:t>
      </w:r>
    </w:p>
    <w:p w:rsidR="001C6ABE" w:rsidRDefault="008E6771" w:rsidP="00E37DE3">
      <w:pPr>
        <w:ind w:firstLine="708"/>
        <w:jc w:val="both"/>
      </w:pPr>
      <w:r>
        <w:t>Preliminarmente alla trattazione della</w:t>
      </w:r>
      <w:r w:rsidR="001C6ABE">
        <w:t xml:space="preserve"> problematica prospettata, corre l’obbligo di precisare che </w:t>
      </w:r>
      <w:r w:rsidR="00524A6E">
        <w:t xml:space="preserve">a </w:t>
      </w:r>
      <w:r w:rsidR="001C6ABE">
        <w:t>q</w:t>
      </w:r>
      <w:r w:rsidR="00524A6E">
        <w:t xml:space="preserve">uesto Servizio, alla luce delle proprie </w:t>
      </w:r>
      <w:r w:rsidR="001C6ABE">
        <w:t xml:space="preserve">attribuzioni di natura consultiva, </w:t>
      </w:r>
      <w:r w:rsidR="00524A6E">
        <w:t>sono precluse</w:t>
      </w:r>
      <w:r w:rsidR="001C6ABE">
        <w:t xml:space="preserve"> valutazioni inerenti il merito dei singoli casi specifici, rimesse dalla legislazione vigente alla definizione e competenza dei Responsabili degli Uffici Tecnici Comunali.</w:t>
      </w:r>
    </w:p>
    <w:p w:rsidR="001C6ABE" w:rsidRDefault="001C6ABE" w:rsidP="00524A6E">
      <w:pPr>
        <w:ind w:firstLine="708"/>
        <w:jc w:val="both"/>
      </w:pPr>
      <w:r>
        <w:lastRenderedPageBreak/>
        <w:t>Perta</w:t>
      </w:r>
      <w:r w:rsidR="00524A6E">
        <w:t xml:space="preserve">nto </w:t>
      </w:r>
      <w:r>
        <w:t xml:space="preserve">le considerazioni </w:t>
      </w:r>
      <w:r w:rsidR="00524A6E">
        <w:t>che seguono</w:t>
      </w:r>
      <w:r>
        <w:t xml:space="preserve">, lungi dal rivestire carattere obbligatorio o vincolante in ordine alle determinazioni finali </w:t>
      </w:r>
      <w:r w:rsidR="00524A6E">
        <w:t xml:space="preserve">sulla vicenda </w:t>
      </w:r>
      <w:r w:rsidR="00524A6E" w:rsidRPr="00524A6E">
        <w:rPr>
          <w:i/>
        </w:rPr>
        <w:t>de qua</w:t>
      </w:r>
      <w:r w:rsidR="00524A6E">
        <w:t>, sono limitate ai profili giuridico</w:t>
      </w:r>
      <w:r w:rsidR="00D83DBE">
        <w:t xml:space="preserve"> </w:t>
      </w:r>
      <w:r w:rsidR="00524A6E">
        <w:t>-</w:t>
      </w:r>
      <w:r w:rsidR="00D83DBE">
        <w:t xml:space="preserve"> </w:t>
      </w:r>
      <w:r w:rsidR="00524A6E">
        <w:t xml:space="preserve">legali </w:t>
      </w:r>
      <w:r w:rsidRPr="001C6ABE">
        <w:t xml:space="preserve">di diretta spettanza, </w:t>
      </w:r>
      <w:r w:rsidR="00524A6E">
        <w:t xml:space="preserve">e vengono rilasciate </w:t>
      </w:r>
      <w:r w:rsidRPr="001C6ABE">
        <w:t>nell’</w:t>
      </w:r>
      <w:r w:rsidR="00524A6E">
        <w:t>ottica di fornire un contributo,</w:t>
      </w:r>
      <w:r w:rsidRPr="001C6ABE">
        <w:t xml:space="preserve"> discrezionalmente apprezzab</w:t>
      </w:r>
      <w:r w:rsidR="00524A6E">
        <w:t xml:space="preserve">ile da codesta Amministrazione, </w:t>
      </w:r>
      <w:r w:rsidRPr="001C6ABE">
        <w:t>finalizzato ad arricchire in termini assolutamente generali l’istruttoria delle proc</w:t>
      </w:r>
      <w:r w:rsidR="00524A6E">
        <w:t>edura edilizia</w:t>
      </w:r>
      <w:r w:rsidRPr="001C6ABE">
        <w:t xml:space="preserve"> in essere.</w:t>
      </w:r>
    </w:p>
    <w:p w:rsidR="00C40366" w:rsidRDefault="00C40366" w:rsidP="00524A6E">
      <w:pPr>
        <w:ind w:firstLine="708"/>
        <w:jc w:val="both"/>
      </w:pPr>
    </w:p>
    <w:p w:rsidR="00DA2FD9" w:rsidRDefault="00C40366" w:rsidP="00DA2FD9">
      <w:pPr>
        <w:ind w:firstLine="708"/>
        <w:jc w:val="both"/>
      </w:pPr>
      <w:r>
        <w:t xml:space="preserve">Come </w:t>
      </w:r>
      <w:r w:rsidR="000B5E66">
        <w:t xml:space="preserve">certamente noto, </w:t>
      </w:r>
      <w:r w:rsidR="00CC2D93">
        <w:t xml:space="preserve">la sanatoria urbanistica ordinaria disciplinata dall’art. 36 del D.P.R. n. 380/01 è </w:t>
      </w:r>
      <w:r w:rsidR="00917535">
        <w:t>ammissibile</w:t>
      </w:r>
      <w:r w:rsidR="00CC2D93">
        <w:t xml:space="preserve"> solamente nell’ipotesi in cui si verifichi il presupposto della c.d. “doppia conformità”</w:t>
      </w:r>
      <w:r w:rsidR="004939A6">
        <w:t xml:space="preserve"> che</w:t>
      </w:r>
      <w:r w:rsidR="00CC2D93">
        <w:t xml:space="preserve"> è condizione indefettibile per poter rilasciare il provvedimento di sanatoria estintivo del reato ed assicurante il mantenimento della </w:t>
      </w:r>
      <w:r w:rsidR="00CC2D93" w:rsidRPr="00CC2D93">
        <w:rPr>
          <w:i/>
        </w:rPr>
        <w:t>res abusiva</w:t>
      </w:r>
      <w:r w:rsidR="00CC2D93">
        <w:t>.</w:t>
      </w:r>
    </w:p>
    <w:p w:rsidR="00DA2FD9" w:rsidRDefault="00DA2FD9" w:rsidP="00DA2FD9">
      <w:pPr>
        <w:ind w:firstLine="708"/>
        <w:jc w:val="both"/>
      </w:pPr>
      <w:r>
        <w:t>N</w:t>
      </w:r>
      <w:r w:rsidR="002015A0">
        <w:t>ella fattispecie all’esame</w:t>
      </w:r>
      <w:r w:rsidR="00CC2D93">
        <w:t xml:space="preserve"> il profilo strettamente urbanistico</w:t>
      </w:r>
      <w:r w:rsidR="002015A0">
        <w:t xml:space="preserve"> parrebbe</w:t>
      </w:r>
      <w:r w:rsidR="00A24B8C">
        <w:t>, tuttavia,</w:t>
      </w:r>
      <w:r w:rsidR="00CC2D93">
        <w:t xml:space="preserve"> rappresenta</w:t>
      </w:r>
      <w:r w:rsidR="002015A0">
        <w:t>re</w:t>
      </w:r>
      <w:r w:rsidR="00CC2D93">
        <w:t xml:space="preserve"> solo uno dei parametri di valutazione della sanabilità</w:t>
      </w:r>
      <w:r w:rsidR="002015A0">
        <w:t xml:space="preserve"> dell’opera interessata: sotto tale ultimo </w:t>
      </w:r>
      <w:r w:rsidR="00671A4F">
        <w:t>aspetto</w:t>
      </w:r>
      <w:r w:rsidR="002015A0">
        <w:t xml:space="preserve"> non può non </w:t>
      </w:r>
      <w:r>
        <w:t xml:space="preserve">evidenziarsi </w:t>
      </w:r>
      <w:r w:rsidR="002015A0">
        <w:t>c</w:t>
      </w:r>
      <w:r w:rsidR="00C27A44">
        <w:t>he,</w:t>
      </w:r>
      <w:r w:rsidR="002015A0">
        <w:t xml:space="preserve"> </w:t>
      </w:r>
      <w:r w:rsidR="00CC2D93">
        <w:t xml:space="preserve">quandanche </w:t>
      </w:r>
      <w:r w:rsidR="002015A0">
        <w:t>l’</w:t>
      </w:r>
      <w:r w:rsidR="00CC2D93">
        <w:t>intervento</w:t>
      </w:r>
      <w:r w:rsidR="004939A6">
        <w:t xml:space="preserve"> risulti</w:t>
      </w:r>
      <w:r w:rsidR="00CC2D93">
        <w:t xml:space="preserve"> sanabile </w:t>
      </w:r>
      <w:r w:rsidR="00671A4F">
        <w:t>sul piano</w:t>
      </w:r>
      <w:r w:rsidR="00CC2D93">
        <w:t xml:space="preserve"> edilizio</w:t>
      </w:r>
      <w:r w:rsidR="004939A6">
        <w:t>,</w:t>
      </w:r>
      <w:r w:rsidR="00CC2D93">
        <w:t xml:space="preserve"> potrebbe non </w:t>
      </w:r>
      <w:r w:rsidR="00A24B8C">
        <w:t xml:space="preserve">risultare </w:t>
      </w:r>
      <w:proofErr w:type="spellStart"/>
      <w:r w:rsidR="00CD289E">
        <w:t>assentibile</w:t>
      </w:r>
      <w:proofErr w:type="spellEnd"/>
      <w:r w:rsidR="00917535">
        <w:t xml:space="preserve"> il </w:t>
      </w:r>
      <w:r w:rsidR="00A24B8C">
        <w:t>nulla-</w:t>
      </w:r>
      <w:r w:rsidR="00CC2D93">
        <w:t>osta paesaggistico in sanatoria.</w:t>
      </w:r>
    </w:p>
    <w:p w:rsidR="00C00097" w:rsidRDefault="00CC2D93" w:rsidP="00C00097">
      <w:pPr>
        <w:ind w:firstLine="708"/>
        <w:jc w:val="both"/>
      </w:pPr>
      <w:r w:rsidRPr="004939A6">
        <w:t xml:space="preserve">Sul punto, è appena il caso di rammentare </w:t>
      </w:r>
      <w:r w:rsidR="004939A6">
        <w:t>che</w:t>
      </w:r>
      <w:r w:rsidR="00DA2FD9">
        <w:t xml:space="preserve"> la</w:t>
      </w:r>
      <w:r w:rsidR="00DA2FD9" w:rsidRPr="00DA2FD9">
        <w:t xml:space="preserve"> normativa vigente sull'autorizzazione paesistica risultante dal combinato dell'art. 146 e </w:t>
      </w:r>
      <w:r w:rsidR="00DA2FD9" w:rsidRPr="00C00097">
        <w:t>dell'</w:t>
      </w:r>
      <w:r w:rsidR="00DA2FD9" w:rsidRPr="00C00097">
        <w:rPr>
          <w:iCs/>
        </w:rPr>
        <w:t>art. 167 comma 4 del</w:t>
      </w:r>
      <w:r w:rsidR="00DA2FD9" w:rsidRPr="00DA2FD9">
        <w:rPr>
          <w:i/>
          <w:iCs/>
        </w:rPr>
        <w:t xml:space="preserve"> </w:t>
      </w:r>
      <w:hyperlink r:id="rId4" w:history="1">
        <w:proofErr w:type="spellStart"/>
        <w:r w:rsidR="00DA2FD9" w:rsidRPr="00C00097">
          <w:rPr>
            <w:rStyle w:val="Collegamentoipertestuale"/>
            <w:iCs/>
            <w:color w:val="auto"/>
            <w:u w:val="none"/>
          </w:rPr>
          <w:t>Dlgs</w:t>
        </w:r>
        <w:proofErr w:type="spellEnd"/>
        <w:r w:rsidR="00DA2FD9" w:rsidRPr="00C00097">
          <w:rPr>
            <w:rStyle w:val="Collegamentoipertestuale"/>
            <w:iCs/>
            <w:color w:val="auto"/>
            <w:u w:val="none"/>
          </w:rPr>
          <w:t>. 42/2004</w:t>
        </w:r>
      </w:hyperlink>
      <w:r w:rsidR="00DA2FD9" w:rsidRPr="00C00097">
        <w:t xml:space="preserve"> </w:t>
      </w:r>
      <w:r w:rsidR="009E0836">
        <w:t>è particolarmente severa</w:t>
      </w:r>
      <w:r w:rsidR="00DA2FD9" w:rsidRPr="00DA2FD9">
        <w:t xml:space="preserve"> in quanto esclude</w:t>
      </w:r>
      <w:r w:rsidR="009E0836">
        <w:t>,</w:t>
      </w:r>
      <w:r w:rsidR="00DA2FD9" w:rsidRPr="00DA2FD9">
        <w:t xml:space="preserve"> </w:t>
      </w:r>
      <w:r w:rsidR="009E0836">
        <w:t xml:space="preserve">in linea di principio, </w:t>
      </w:r>
      <w:r w:rsidR="00DA2FD9" w:rsidRPr="00DA2FD9">
        <w:t>la sa</w:t>
      </w:r>
      <w:r w:rsidR="009E0836">
        <w:t xml:space="preserve">natoria ambientale per le opere, </w:t>
      </w:r>
      <w:r w:rsidR="00DA2FD9" w:rsidRPr="00DA2FD9">
        <w:t>non preventivamente assentite</w:t>
      </w:r>
      <w:r w:rsidR="009E0836">
        <w:t>, in aree s</w:t>
      </w:r>
      <w:r w:rsidR="00A24B8C">
        <w:t>oggette a vincolo paesaggistico come quella in discussione.</w:t>
      </w:r>
    </w:p>
    <w:p w:rsidR="004035F5" w:rsidRDefault="009E0836" w:rsidP="009E0836">
      <w:pPr>
        <w:ind w:firstLine="708"/>
        <w:jc w:val="both"/>
      </w:pPr>
      <w:r>
        <w:t xml:space="preserve">Il rilascio del permesso di costruire all’esito della procedura di accertamento di conformità ex art. 36 del D.P.R. n. 380/01 resta subordinato al rilascio dell’autorizzazione paesaggistica </w:t>
      </w:r>
      <w:r w:rsidR="004035F5">
        <w:t xml:space="preserve">che </w:t>
      </w:r>
      <w:r>
        <w:t>di norma deve precedere l’inizio dei lavori</w:t>
      </w:r>
      <w:r w:rsidR="004035F5">
        <w:t>, con le sole tassative eccezioni indicate dall’art. 167, commi 4 e 5 (lavori realizzati in assenza o in difformità che non abbiano determinato creazione di superfici utili o volumi, ovvero aumento di quelli legittimamente realizzati; impiego di materiali in difformità dall’autorizzazione paesaggistica; lavori configurabili quali interventi di manutenzione ordinaria e straordinaria).</w:t>
      </w:r>
    </w:p>
    <w:p w:rsidR="001647B8" w:rsidRPr="001647B8" w:rsidRDefault="001647B8" w:rsidP="001647B8">
      <w:pPr>
        <w:ind w:firstLine="708"/>
        <w:jc w:val="both"/>
        <w:rPr>
          <w:i/>
        </w:rPr>
      </w:pPr>
      <w:r>
        <w:t>In proposito, si segnala un indirizzo consolidato della giurisprudenza amministrativa secondo cui “</w:t>
      </w:r>
      <w:r w:rsidRPr="001647B8">
        <w:rPr>
          <w:i/>
        </w:rPr>
        <w:t>la procedura di accertamento di conformità ora divisata dall’art. 36 del T.U. sull’edilizia di cui al D.P.R. n. 380 del 2001 è inapplicabile al caso di opere</w:t>
      </w:r>
      <w:r>
        <w:rPr>
          <w:i/>
        </w:rPr>
        <w:t xml:space="preserve"> r</w:t>
      </w:r>
      <w:r w:rsidRPr="001647B8">
        <w:rPr>
          <w:i/>
        </w:rPr>
        <w:t xml:space="preserve">ealizzate in zona sottoposta a vincolo paesistico  secondo quanto espressamente previsto dall’art. 146 del D. </w:t>
      </w:r>
      <w:proofErr w:type="spellStart"/>
      <w:r w:rsidRPr="001647B8">
        <w:rPr>
          <w:i/>
        </w:rPr>
        <w:t>L.vo</w:t>
      </w:r>
      <w:proofErr w:type="spellEnd"/>
      <w:r w:rsidRPr="001647B8">
        <w:rPr>
          <w:i/>
        </w:rPr>
        <w:t xml:space="preserve"> n. 42 del 2004 (Codice dei beni culturali): e ciò perché per le opere comportanti aumento di volumetria l’autorizzazione paesaggistica – la quale ovviamente condiziona l’accertamento – non può essere rilasciata ex post dall’autorità p</w:t>
      </w:r>
      <w:r>
        <w:rPr>
          <w:i/>
        </w:rPr>
        <w:t>reposta alla tutela del vincolo</w:t>
      </w:r>
      <w:r>
        <w:t xml:space="preserve">  (</w:t>
      </w:r>
      <w:proofErr w:type="spellStart"/>
      <w:r>
        <w:t>Cons</w:t>
      </w:r>
      <w:proofErr w:type="spellEnd"/>
      <w:r>
        <w:t xml:space="preserve">. Stato, sez. IV, </w:t>
      </w:r>
      <w:proofErr w:type="spellStart"/>
      <w:r>
        <w:t>sent</w:t>
      </w:r>
      <w:proofErr w:type="spellEnd"/>
      <w:r>
        <w:t xml:space="preserve">. n. 5203/2007, di conferma della </w:t>
      </w:r>
      <w:proofErr w:type="spellStart"/>
      <w:r>
        <w:t>sent</w:t>
      </w:r>
      <w:proofErr w:type="spellEnd"/>
      <w:r>
        <w:t>. TAR Campania, Napoli, sez. VI, n. 8977 de/2006</w:t>
      </w:r>
      <w:r w:rsidR="00152E12">
        <w:t xml:space="preserve"> e, più recentemente, TAR Campania, Napoli, sez. IV, </w:t>
      </w:r>
      <w:proofErr w:type="spellStart"/>
      <w:r w:rsidR="00152E12">
        <w:t>sent</w:t>
      </w:r>
      <w:proofErr w:type="spellEnd"/>
      <w:r w:rsidR="00152E12">
        <w:t>. n. 708 del 2011</w:t>
      </w:r>
      <w:r>
        <w:t>)</w:t>
      </w:r>
    </w:p>
    <w:p w:rsidR="00A24B8C" w:rsidRDefault="00C27A44" w:rsidP="00A24B8C">
      <w:pPr>
        <w:ind w:firstLine="708"/>
        <w:jc w:val="both"/>
      </w:pPr>
      <w:r>
        <w:t xml:space="preserve">Orbene, nella circostanza di specie </w:t>
      </w:r>
      <w:r w:rsidR="00A24B8C">
        <w:t>il richiedente asserisce la non necessità del nulla osta di conformità paesaggistica in ragione dell’epoca di commissione dell’abuso, che esenterebbe la condotta tenuta al tempo di realizzazione dell’opera dall’obbligo di autorizzazione paesistico-ambientale.</w:t>
      </w:r>
    </w:p>
    <w:p w:rsidR="00FC3B90" w:rsidRDefault="0012064F" w:rsidP="00FC3B90">
      <w:pPr>
        <w:ind w:firstLine="708"/>
        <w:jc w:val="both"/>
      </w:pPr>
      <w:r>
        <w:t>In proposito occo</w:t>
      </w:r>
      <w:r w:rsidR="00FC3B90">
        <w:t>rre rilevare che la predetta</w:t>
      </w:r>
      <w:r w:rsidR="00B44422">
        <w:t xml:space="preserve"> autorizzazione</w:t>
      </w:r>
      <w:r w:rsidR="00FC3B90">
        <w:t>,</w:t>
      </w:r>
      <w:r>
        <w:t xml:space="preserve"> </w:t>
      </w:r>
      <w:r w:rsidR="00A24B8C">
        <w:t xml:space="preserve">funzionalmente differenziata da quella prettamente urbanistica e </w:t>
      </w:r>
      <w:r>
        <w:t>ri</w:t>
      </w:r>
      <w:r w:rsidR="00A24B8C">
        <w:t>volta alla conservazione del valore estetico</w:t>
      </w:r>
      <w:r w:rsidR="00B44422">
        <w:t xml:space="preserve"> culturale</w:t>
      </w:r>
      <w:r w:rsidR="00A24B8C">
        <w:t xml:space="preserve"> del “</w:t>
      </w:r>
      <w:r w:rsidR="00A24B8C" w:rsidRPr="0012064F">
        <w:rPr>
          <w:i/>
        </w:rPr>
        <w:t>bene paesaggio</w:t>
      </w:r>
      <w:r w:rsidR="00A24B8C">
        <w:t>”</w:t>
      </w:r>
      <w:r w:rsidR="00204308">
        <w:t xml:space="preserve"> ed all’utilizzazione controllata del territorio, </w:t>
      </w:r>
      <w:r>
        <w:t>implica un</w:t>
      </w:r>
      <w:r w:rsidR="00FC3B90">
        <w:t>a valutazione sulla conformità dell’</w:t>
      </w:r>
      <w:r w:rsidR="00204308">
        <w:t>opera che è normativamente connotata come presupp</w:t>
      </w:r>
      <w:r w:rsidR="001D6837">
        <w:t>osta</w:t>
      </w:r>
      <w:r w:rsidR="00E161C0">
        <w:t xml:space="preserve"> </w:t>
      </w:r>
      <w:r w:rsidR="00204308">
        <w:t xml:space="preserve">rispetto al </w:t>
      </w:r>
      <w:r w:rsidR="001D6837">
        <w:t xml:space="preserve">profilo urbanistico </w:t>
      </w:r>
      <w:r w:rsidR="00204308">
        <w:t>stesso</w:t>
      </w:r>
      <w:r w:rsidR="00FC3B90">
        <w:t xml:space="preserve">: valutazione che, proprio in ragione della tipologia e della natura dell’abuso di che trattasi (autorimessa </w:t>
      </w:r>
      <w:proofErr w:type="spellStart"/>
      <w:r w:rsidR="00FC3B90">
        <w:t>seminterrata</w:t>
      </w:r>
      <w:proofErr w:type="spellEnd"/>
      <w:r w:rsidR="00FC3B90">
        <w:t xml:space="preserve"> con aumento della superficie utile) non potrebbe</w:t>
      </w:r>
      <w:r w:rsidR="0010211C">
        <w:t xml:space="preserve"> </w:t>
      </w:r>
      <w:r w:rsidR="00FC3B90">
        <w:t>essere oggetto di un provvedimento “</w:t>
      </w:r>
      <w:r w:rsidR="00AD0614" w:rsidRPr="001D6837">
        <w:rPr>
          <w:i/>
        </w:rPr>
        <w:t>ex post</w:t>
      </w:r>
      <w:r w:rsidR="00FC3B90">
        <w:t>”, in ossequio a quanto stabilito dal sopra richiamato</w:t>
      </w:r>
      <w:r w:rsidR="00AD0614">
        <w:t xml:space="preserve"> art. 146 del D. </w:t>
      </w:r>
      <w:proofErr w:type="spellStart"/>
      <w:r w:rsidR="00AD0614">
        <w:t>Lgs</w:t>
      </w:r>
      <w:proofErr w:type="spellEnd"/>
      <w:r w:rsidR="00AD0614">
        <w:t xml:space="preserve">. n. 42/04 (cfr. TAR Campania, Napoli, </w:t>
      </w:r>
      <w:proofErr w:type="spellStart"/>
      <w:r w:rsidR="00AD0614">
        <w:t>sent</w:t>
      </w:r>
      <w:proofErr w:type="spellEnd"/>
      <w:r w:rsidR="00AD0614">
        <w:t>. n. 2057 del 20.04.2010).</w:t>
      </w:r>
    </w:p>
    <w:p w:rsidR="00B4407A" w:rsidRDefault="00AD0614" w:rsidP="00AD0614">
      <w:pPr>
        <w:ind w:firstLine="708"/>
        <w:jc w:val="both"/>
      </w:pPr>
      <w:r>
        <w:t xml:space="preserve">Alla luce di quanto sopra, </w:t>
      </w:r>
      <w:r w:rsidR="0010211C">
        <w:t>allo stato dell’arte</w:t>
      </w:r>
      <w:r w:rsidR="00B4407A" w:rsidRPr="00B4407A">
        <w:t xml:space="preserve"> </w:t>
      </w:r>
      <w:r w:rsidR="00B4407A">
        <w:t xml:space="preserve">non appare </w:t>
      </w:r>
      <w:proofErr w:type="spellStart"/>
      <w:r w:rsidR="0010211C">
        <w:t>assentibile</w:t>
      </w:r>
      <w:proofErr w:type="spellEnd"/>
      <w:r w:rsidR="0010211C">
        <w:t xml:space="preserve"> </w:t>
      </w:r>
      <w:r w:rsidR="00B4407A">
        <w:t>il rilascio di</w:t>
      </w:r>
      <w:r>
        <w:t xml:space="preserve"> un titolo </w:t>
      </w:r>
      <w:r w:rsidR="00B4407A">
        <w:t xml:space="preserve">abilitativo </w:t>
      </w:r>
      <w:r w:rsidR="0010211C">
        <w:t>per la regolarizzazione di</w:t>
      </w:r>
      <w:r w:rsidR="00B4407A">
        <w:t xml:space="preserve"> un abuso in area vincolata in assenza della valutazione circa la </w:t>
      </w:r>
      <w:r w:rsidR="001D6837">
        <w:t>compatibilità dell’intervento edificatorio con il contesto paesaggistico di riferimento</w:t>
      </w:r>
      <w:r w:rsidR="00B4407A">
        <w:t>.</w:t>
      </w:r>
    </w:p>
    <w:p w:rsidR="00AD0614" w:rsidRDefault="001D6837" w:rsidP="00AD0614">
      <w:pPr>
        <w:ind w:firstLine="708"/>
        <w:jc w:val="both"/>
      </w:pPr>
      <w:r>
        <w:lastRenderedPageBreak/>
        <w:t xml:space="preserve">Ciò anche in considerazione della lettera e della </w:t>
      </w:r>
      <w:r w:rsidR="00AD0614">
        <w:t>ratio della disposizione contenuta nell’</w:t>
      </w:r>
      <w:r w:rsidR="00E161C0">
        <w:t xml:space="preserve">art. 36 </w:t>
      </w:r>
      <w:r w:rsidR="00AD0614">
        <w:t xml:space="preserve">del D.P.R. n. 380/01, </w:t>
      </w:r>
      <w:r>
        <w:t xml:space="preserve">che consente di richiedere </w:t>
      </w:r>
      <w:r w:rsidR="00AD0614">
        <w:t xml:space="preserve">la sanatoria edilizia </w:t>
      </w:r>
      <w:r w:rsidR="00AD0614" w:rsidRPr="00DF24E3">
        <w:t>“</w:t>
      </w:r>
      <w:r w:rsidR="00AD0614" w:rsidRPr="00375067">
        <w:rPr>
          <w:i/>
        </w:rPr>
        <w:t>a regime</w:t>
      </w:r>
      <w:r w:rsidR="00AD0614">
        <w:t xml:space="preserve">” per </w:t>
      </w:r>
      <w:r>
        <w:t>quelle o</w:t>
      </w:r>
      <w:r w:rsidR="00AD0614">
        <w:t xml:space="preserve">pere che, </w:t>
      </w:r>
      <w:r>
        <w:t xml:space="preserve">chiaramente </w:t>
      </w:r>
      <w:r w:rsidR="00AD0614">
        <w:t>individuate nei relativi aspetti strutturali e funzionali, si presenti</w:t>
      </w:r>
      <w:r w:rsidR="00AD0614" w:rsidRPr="00375067">
        <w:t>no conformi alla disciplina vigente al momento della loro realizzazione ed al momento della presentazione della domanda.</w:t>
      </w:r>
    </w:p>
    <w:p w:rsidR="001D6837" w:rsidRDefault="001D6837" w:rsidP="001D6837">
      <w:pPr>
        <w:jc w:val="both"/>
      </w:pPr>
      <w:r>
        <w:tab/>
      </w:r>
    </w:p>
    <w:p w:rsidR="0010211C" w:rsidRDefault="0010211C" w:rsidP="001D6837">
      <w:pPr>
        <w:jc w:val="both"/>
      </w:pPr>
      <w:r>
        <w:tab/>
        <w:t>A margine delle osservazioni sin qui rilasciate, è utile specificare, per completezza di esposizione, la distinzione tra reato avente ad oggetto la violazione urbanistica (esecuzione dei lavori senza il permesso di costruire) e reato avente ad oggetto la violazione paesaggistica (esecuzione dei lavori senza il nulla osta dell’autorità preposta al vincolo): ne deriva, e l’orientamento della giurisprudenza di legittimità sul punto è granitico, che anche un eventuale rilascio del titolo edilizio a sanatoria determina “</w:t>
      </w:r>
      <w:r w:rsidRPr="0010211C">
        <w:rPr>
          <w:i/>
        </w:rPr>
        <w:t>l’estinzione dei soli reati contravvenzionali previsti dalle norme urbanistiche vigenti</w:t>
      </w:r>
      <w:r>
        <w:t xml:space="preserve">”  con conseguente inapplicabilità della causa estintiva ai reati che si riferiscono ad altri aspetti delle costruzioni aventi oggettività giuridica differente rispetto a quella della tutela urbanistica e riguardanti, come nel caso prospettato, le violazioni in materia di tutela delle zone di particolare interesse </w:t>
      </w:r>
      <w:r w:rsidR="00D00856">
        <w:t xml:space="preserve">paesaggistico ed </w:t>
      </w:r>
      <w:r>
        <w:t xml:space="preserve">ambientale (cfr. </w:t>
      </w:r>
      <w:proofErr w:type="spellStart"/>
      <w:r>
        <w:t>Cass</w:t>
      </w:r>
      <w:proofErr w:type="spellEnd"/>
      <w:r>
        <w:t xml:space="preserve">. Sez. III, </w:t>
      </w:r>
      <w:proofErr w:type="spellStart"/>
      <w:r>
        <w:t>sent</w:t>
      </w:r>
      <w:proofErr w:type="spellEnd"/>
      <w:r>
        <w:t>. n. 17825 del 11 maggio 2012)</w:t>
      </w:r>
      <w:r w:rsidR="00E161C0">
        <w:t>.</w:t>
      </w:r>
    </w:p>
    <w:p w:rsidR="00E161C0" w:rsidRDefault="00E161C0" w:rsidP="001D6837">
      <w:pPr>
        <w:jc w:val="both"/>
      </w:pPr>
    </w:p>
    <w:p w:rsidR="00E161C0" w:rsidRPr="00E161C0" w:rsidRDefault="00E161C0" w:rsidP="00E161C0">
      <w:pPr>
        <w:ind w:firstLine="708"/>
        <w:jc w:val="both"/>
      </w:pPr>
      <w:r>
        <w:t>Il presente parere è trasmesso al Servizio Tutela,</w:t>
      </w:r>
      <w:r w:rsidRPr="00E161C0">
        <w:t xml:space="preserve"> Valorizzazione del Paesaggio e Valutazione Ambientale</w:t>
      </w:r>
      <w:r>
        <w:t xml:space="preserve"> per opportuna conoscenza e per l’eventuale rilascio di </w:t>
      </w:r>
      <w:proofErr w:type="gramStart"/>
      <w:r>
        <w:t xml:space="preserve">ulteriori </w:t>
      </w:r>
      <w:r w:rsidRPr="00E161C0">
        <w:t xml:space="preserve"> osservazioni</w:t>
      </w:r>
      <w:proofErr w:type="gramEnd"/>
      <w:r w:rsidRPr="00E161C0">
        <w:t xml:space="preserve"> in </w:t>
      </w:r>
      <w:r>
        <w:t xml:space="preserve">ordine ai profili </w:t>
      </w:r>
      <w:r w:rsidRPr="00E161C0">
        <w:t>di</w:t>
      </w:r>
      <w:r>
        <w:t xml:space="preserve"> stretta </w:t>
      </w:r>
      <w:r w:rsidRPr="00E161C0">
        <w:t>competenza</w:t>
      </w:r>
      <w:r>
        <w:t>.</w:t>
      </w:r>
    </w:p>
    <w:p w:rsidR="00E161C0" w:rsidRDefault="00E161C0" w:rsidP="00E161C0">
      <w:pPr>
        <w:ind w:firstLine="708"/>
        <w:jc w:val="both"/>
      </w:pPr>
    </w:p>
    <w:p w:rsidR="0010211C" w:rsidRDefault="0010211C" w:rsidP="001D6837">
      <w:pPr>
        <w:jc w:val="both"/>
      </w:pPr>
    </w:p>
    <w:p w:rsidR="0010211C" w:rsidRDefault="00D00856" w:rsidP="001D6837">
      <w:pPr>
        <w:jc w:val="both"/>
      </w:pPr>
      <w:r>
        <w:tab/>
        <w:t>Distinti saluti.</w:t>
      </w:r>
    </w:p>
    <w:p w:rsidR="00D00856" w:rsidRDefault="00D00856" w:rsidP="001D6837">
      <w:pPr>
        <w:jc w:val="both"/>
      </w:pPr>
    </w:p>
    <w:p w:rsidR="00D00856" w:rsidRPr="00D00856" w:rsidRDefault="00D00856" w:rsidP="00D00856">
      <w:pPr>
        <w:jc w:val="both"/>
        <w:rPr>
          <w:sz w:val="22"/>
          <w:szCs w:val="22"/>
        </w:rPr>
      </w:pPr>
      <w:r>
        <w:t xml:space="preserve">    </w:t>
      </w:r>
      <w:r>
        <w:tab/>
      </w:r>
      <w:r w:rsidRPr="00D00856">
        <w:rPr>
          <w:sz w:val="22"/>
          <w:szCs w:val="22"/>
        </w:rPr>
        <w:t>Il Responsabile dell’Ufficio</w:t>
      </w:r>
    </w:p>
    <w:p w:rsidR="00D00856" w:rsidRDefault="00D00856" w:rsidP="00D00856">
      <w:pPr>
        <w:jc w:val="both"/>
      </w:pPr>
      <w:r w:rsidRPr="00D00856">
        <w:rPr>
          <w:sz w:val="22"/>
          <w:szCs w:val="22"/>
        </w:rPr>
        <w:t xml:space="preserve">     </w:t>
      </w:r>
      <w:r w:rsidRPr="00D00856">
        <w:rPr>
          <w:sz w:val="22"/>
          <w:szCs w:val="22"/>
        </w:rPr>
        <w:tab/>
        <w:t xml:space="preserve"> (Avv. Marianna Cerasoli) </w:t>
      </w:r>
      <w:r w:rsidRPr="00D00856">
        <w:rPr>
          <w:sz w:val="22"/>
          <w:szCs w:val="22"/>
        </w:rPr>
        <w:tab/>
      </w:r>
      <w:r w:rsidRPr="00742B23">
        <w:tab/>
      </w:r>
      <w:r w:rsidRPr="00742B23">
        <w:tab/>
      </w:r>
      <w:r w:rsidRPr="00742B23">
        <w:tab/>
      </w:r>
      <w:r w:rsidRPr="00742B23">
        <w:tab/>
      </w:r>
      <w:r w:rsidRPr="00742B23">
        <w:tab/>
      </w:r>
    </w:p>
    <w:p w:rsidR="00D00856" w:rsidRPr="00D00856" w:rsidRDefault="00D00856" w:rsidP="00D00856">
      <w:pPr>
        <w:ind w:left="4956" w:firstLine="708"/>
        <w:jc w:val="both"/>
      </w:pPr>
      <w:r w:rsidRPr="00D00856">
        <w:t>Il Dirigente</w:t>
      </w:r>
    </w:p>
    <w:p w:rsidR="00D00856" w:rsidRPr="00D00856" w:rsidRDefault="00D00856" w:rsidP="00D00856">
      <w:pPr>
        <w:jc w:val="both"/>
      </w:pPr>
      <w:r w:rsidRPr="00D00856">
        <w:tab/>
      </w:r>
      <w:r w:rsidRPr="00D00856">
        <w:tab/>
      </w:r>
      <w:r w:rsidRPr="00D00856">
        <w:tab/>
      </w:r>
      <w:r w:rsidRPr="00D00856">
        <w:tab/>
      </w:r>
      <w:r w:rsidRPr="00D00856">
        <w:tab/>
      </w:r>
      <w:r w:rsidRPr="00D00856">
        <w:tab/>
      </w:r>
      <w:r w:rsidRPr="00D00856">
        <w:tab/>
        <w:t xml:space="preserve">   </w:t>
      </w:r>
      <w:proofErr w:type="gramStart"/>
      <w:r w:rsidRPr="00D00856">
        <w:t>( Avv.</w:t>
      </w:r>
      <w:proofErr w:type="gramEnd"/>
      <w:r w:rsidRPr="00D00856">
        <w:t xml:space="preserve"> </w:t>
      </w:r>
      <w:smartTag w:uri="urn:schemas-microsoft-com:office:smarttags" w:element="PersonName">
        <w:r w:rsidRPr="00D00856">
          <w:t>Stefania Valeri</w:t>
        </w:r>
      </w:smartTag>
      <w:r w:rsidRPr="00D00856">
        <w:t xml:space="preserve"> )</w:t>
      </w:r>
    </w:p>
    <w:p w:rsidR="00D00856" w:rsidRPr="00D00856" w:rsidRDefault="00D00856" w:rsidP="001D6837">
      <w:pPr>
        <w:jc w:val="both"/>
      </w:pPr>
    </w:p>
    <w:p w:rsidR="00D00856" w:rsidRPr="004939A6" w:rsidRDefault="00D00856" w:rsidP="001D6837">
      <w:pPr>
        <w:jc w:val="both"/>
      </w:pPr>
    </w:p>
    <w:sectPr w:rsidR="00D00856" w:rsidRPr="004939A6" w:rsidSect="00E161C0">
      <w:pgSz w:w="11906" w:h="16838" w:code="9"/>
      <w:pgMar w:top="2155" w:right="1134" w:bottom="1134" w:left="1134"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83"/>
    <w:rsid w:val="000B5E66"/>
    <w:rsid w:val="000F1B73"/>
    <w:rsid w:val="0010211C"/>
    <w:rsid w:val="0012064F"/>
    <w:rsid w:val="00152E12"/>
    <w:rsid w:val="001572FD"/>
    <w:rsid w:val="001647B8"/>
    <w:rsid w:val="001C6ABE"/>
    <w:rsid w:val="001D6837"/>
    <w:rsid w:val="002015A0"/>
    <w:rsid w:val="00204308"/>
    <w:rsid w:val="00337673"/>
    <w:rsid w:val="00364C89"/>
    <w:rsid w:val="00375067"/>
    <w:rsid w:val="00391AE1"/>
    <w:rsid w:val="00396B1C"/>
    <w:rsid w:val="003C52F7"/>
    <w:rsid w:val="004035F5"/>
    <w:rsid w:val="00493658"/>
    <w:rsid w:val="004939A6"/>
    <w:rsid w:val="004E53BC"/>
    <w:rsid w:val="00524A6E"/>
    <w:rsid w:val="00585083"/>
    <w:rsid w:val="00671A4F"/>
    <w:rsid w:val="007F42C7"/>
    <w:rsid w:val="008B2A35"/>
    <w:rsid w:val="008E6771"/>
    <w:rsid w:val="00917535"/>
    <w:rsid w:val="009E0836"/>
    <w:rsid w:val="00A24B8C"/>
    <w:rsid w:val="00AB2242"/>
    <w:rsid w:val="00AD0614"/>
    <w:rsid w:val="00B4407A"/>
    <w:rsid w:val="00B44422"/>
    <w:rsid w:val="00B54DD4"/>
    <w:rsid w:val="00C00097"/>
    <w:rsid w:val="00C01EC9"/>
    <w:rsid w:val="00C27A44"/>
    <w:rsid w:val="00C378B9"/>
    <w:rsid w:val="00C40366"/>
    <w:rsid w:val="00CC2D93"/>
    <w:rsid w:val="00CD289E"/>
    <w:rsid w:val="00CF3DBB"/>
    <w:rsid w:val="00D00856"/>
    <w:rsid w:val="00D4127C"/>
    <w:rsid w:val="00D83DBE"/>
    <w:rsid w:val="00DA2FD9"/>
    <w:rsid w:val="00DF24E3"/>
    <w:rsid w:val="00E00024"/>
    <w:rsid w:val="00E161C0"/>
    <w:rsid w:val="00E37DE3"/>
    <w:rsid w:val="00EE4733"/>
    <w:rsid w:val="00F518F8"/>
    <w:rsid w:val="00FC3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C428667-E770-49EC-A157-8C614147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DBB"/>
    <w:pPr>
      <w:spacing w:after="0" w:line="240" w:lineRule="auto"/>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D4127C"/>
    <w:rPr>
      <w:sz w:val="16"/>
      <w:szCs w:val="16"/>
    </w:rPr>
  </w:style>
  <w:style w:type="paragraph" w:styleId="Testocommento">
    <w:name w:val="annotation text"/>
    <w:basedOn w:val="Normale"/>
    <w:link w:val="TestocommentoCarattere"/>
    <w:uiPriority w:val="99"/>
    <w:semiHidden/>
    <w:unhideWhenUsed/>
    <w:rsid w:val="00D4127C"/>
    <w:rPr>
      <w:sz w:val="20"/>
      <w:szCs w:val="20"/>
    </w:rPr>
  </w:style>
  <w:style w:type="character" w:customStyle="1" w:styleId="TestocommentoCarattere">
    <w:name w:val="Testo commento Carattere"/>
    <w:basedOn w:val="Carpredefinitoparagrafo"/>
    <w:link w:val="Testocommento"/>
    <w:uiPriority w:val="99"/>
    <w:semiHidden/>
    <w:rsid w:val="00D4127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4127C"/>
    <w:rPr>
      <w:b/>
      <w:bCs/>
    </w:rPr>
  </w:style>
  <w:style w:type="character" w:customStyle="1" w:styleId="SoggettocommentoCarattere">
    <w:name w:val="Soggetto commento Carattere"/>
    <w:basedOn w:val="TestocommentoCarattere"/>
    <w:link w:val="Soggettocommento"/>
    <w:uiPriority w:val="99"/>
    <w:semiHidden/>
    <w:rsid w:val="00D4127C"/>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412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127C"/>
    <w:rPr>
      <w:rFonts w:ascii="Segoe UI" w:eastAsia="Times New Roman" w:hAnsi="Segoe UI" w:cs="Segoe UI"/>
      <w:sz w:val="18"/>
      <w:szCs w:val="18"/>
      <w:lang w:eastAsia="it-IT"/>
    </w:rPr>
  </w:style>
  <w:style w:type="paragraph" w:styleId="NormaleWeb">
    <w:name w:val="Normal (Web)"/>
    <w:basedOn w:val="Normale"/>
    <w:uiPriority w:val="99"/>
    <w:semiHidden/>
    <w:unhideWhenUsed/>
    <w:rsid w:val="004939A6"/>
    <w:pPr>
      <w:spacing w:before="100" w:beforeAutospacing="1" w:after="100" w:afterAutospacing="1"/>
    </w:pPr>
  </w:style>
  <w:style w:type="character" w:styleId="Collegamentoipertestuale">
    <w:name w:val="Hyperlink"/>
    <w:basedOn w:val="Carpredefinitoparagrafo"/>
    <w:uiPriority w:val="99"/>
    <w:unhideWhenUsed/>
    <w:rsid w:val="00DA2FD9"/>
    <w:rPr>
      <w:color w:val="0563C1" w:themeColor="hyperlink"/>
      <w:u w:val="single"/>
    </w:rPr>
  </w:style>
  <w:style w:type="paragraph" w:styleId="Corpotesto">
    <w:name w:val="Body Text"/>
    <w:basedOn w:val="Normale"/>
    <w:link w:val="CorpotestoCarattere"/>
    <w:uiPriority w:val="99"/>
    <w:semiHidden/>
    <w:unhideWhenUsed/>
    <w:rsid w:val="001647B8"/>
    <w:pPr>
      <w:spacing w:after="120"/>
    </w:pPr>
  </w:style>
  <w:style w:type="character" w:customStyle="1" w:styleId="CorpotestoCarattere">
    <w:name w:val="Corpo testo Carattere"/>
    <w:basedOn w:val="Carpredefinitoparagrafo"/>
    <w:link w:val="Corpotesto"/>
    <w:uiPriority w:val="99"/>
    <w:semiHidden/>
    <w:rsid w:val="001647B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0204">
      <w:bodyDiv w:val="1"/>
      <w:marLeft w:val="0"/>
      <w:marRight w:val="0"/>
      <w:marTop w:val="0"/>
      <w:marBottom w:val="0"/>
      <w:divBdr>
        <w:top w:val="none" w:sz="0" w:space="0" w:color="auto"/>
        <w:left w:val="none" w:sz="0" w:space="0" w:color="auto"/>
        <w:bottom w:val="none" w:sz="0" w:space="0" w:color="auto"/>
        <w:right w:val="none" w:sz="0" w:space="0" w:color="auto"/>
      </w:divBdr>
    </w:div>
    <w:div w:id="1319311063">
      <w:bodyDiv w:val="1"/>
      <w:marLeft w:val="0"/>
      <w:marRight w:val="0"/>
      <w:marTop w:val="0"/>
      <w:marBottom w:val="0"/>
      <w:divBdr>
        <w:top w:val="none" w:sz="0" w:space="0" w:color="auto"/>
        <w:left w:val="none" w:sz="0" w:space="0" w:color="auto"/>
        <w:bottom w:val="none" w:sz="0" w:space="0" w:color="auto"/>
        <w:right w:val="none" w:sz="0" w:space="0" w:color="auto"/>
      </w:divBdr>
    </w:div>
    <w:div w:id="1359239504">
      <w:bodyDiv w:val="1"/>
      <w:marLeft w:val="0"/>
      <w:marRight w:val="0"/>
      <w:marTop w:val="0"/>
      <w:marBottom w:val="0"/>
      <w:divBdr>
        <w:top w:val="none" w:sz="0" w:space="0" w:color="auto"/>
        <w:left w:val="none" w:sz="0" w:space="0" w:color="auto"/>
        <w:bottom w:val="none" w:sz="0" w:space="0" w:color="auto"/>
        <w:right w:val="none" w:sz="0" w:space="0" w:color="auto"/>
      </w:divBdr>
    </w:div>
    <w:div w:id="1455711480">
      <w:bodyDiv w:val="1"/>
      <w:marLeft w:val="0"/>
      <w:marRight w:val="0"/>
      <w:marTop w:val="0"/>
      <w:marBottom w:val="0"/>
      <w:divBdr>
        <w:top w:val="none" w:sz="0" w:space="0" w:color="auto"/>
        <w:left w:val="none" w:sz="0" w:space="0" w:color="auto"/>
        <w:bottom w:val="none" w:sz="0" w:space="0" w:color="auto"/>
        <w:right w:val="none" w:sz="0" w:space="0" w:color="auto"/>
      </w:divBdr>
      <w:divsChild>
        <w:div w:id="419521782">
          <w:marLeft w:val="0"/>
          <w:marRight w:val="0"/>
          <w:marTop w:val="0"/>
          <w:marBottom w:val="0"/>
          <w:divBdr>
            <w:top w:val="none" w:sz="0" w:space="0" w:color="auto"/>
            <w:left w:val="none" w:sz="0" w:space="0" w:color="auto"/>
            <w:bottom w:val="none" w:sz="0" w:space="0" w:color="auto"/>
            <w:right w:val="none" w:sz="0" w:space="0" w:color="auto"/>
          </w:divBdr>
          <w:divsChild>
            <w:div w:id="221405175">
              <w:marLeft w:val="0"/>
              <w:marRight w:val="0"/>
              <w:marTop w:val="0"/>
              <w:marBottom w:val="0"/>
              <w:divBdr>
                <w:top w:val="none" w:sz="0" w:space="0" w:color="auto"/>
                <w:left w:val="none" w:sz="0" w:space="0" w:color="auto"/>
                <w:bottom w:val="none" w:sz="0" w:space="0" w:color="auto"/>
                <w:right w:val="none" w:sz="0" w:space="0" w:color="auto"/>
              </w:divBdr>
              <w:divsChild>
                <w:div w:id="464467368">
                  <w:marLeft w:val="0"/>
                  <w:marRight w:val="0"/>
                  <w:marTop w:val="0"/>
                  <w:marBottom w:val="0"/>
                  <w:divBdr>
                    <w:top w:val="none" w:sz="0" w:space="0" w:color="auto"/>
                    <w:left w:val="none" w:sz="0" w:space="0" w:color="auto"/>
                    <w:bottom w:val="none" w:sz="0" w:space="0" w:color="auto"/>
                    <w:right w:val="none" w:sz="0" w:space="0" w:color="auto"/>
                  </w:divBdr>
                  <w:divsChild>
                    <w:div w:id="2059358451">
                      <w:marLeft w:val="0"/>
                      <w:marRight w:val="0"/>
                      <w:marTop w:val="0"/>
                      <w:marBottom w:val="0"/>
                      <w:divBdr>
                        <w:top w:val="none" w:sz="0" w:space="0" w:color="auto"/>
                        <w:left w:val="none" w:sz="0" w:space="0" w:color="auto"/>
                        <w:bottom w:val="none" w:sz="0" w:space="0" w:color="auto"/>
                        <w:right w:val="none" w:sz="0" w:space="0" w:color="auto"/>
                      </w:divBdr>
                      <w:divsChild>
                        <w:div w:id="1815416342">
                          <w:marLeft w:val="0"/>
                          <w:marRight w:val="0"/>
                          <w:marTop w:val="0"/>
                          <w:marBottom w:val="0"/>
                          <w:divBdr>
                            <w:top w:val="none" w:sz="0" w:space="0" w:color="auto"/>
                            <w:left w:val="none" w:sz="0" w:space="0" w:color="auto"/>
                            <w:bottom w:val="none" w:sz="0" w:space="0" w:color="auto"/>
                            <w:right w:val="none" w:sz="0" w:space="0" w:color="auto"/>
                          </w:divBdr>
                          <w:divsChild>
                            <w:div w:id="1679502789">
                              <w:marLeft w:val="15"/>
                              <w:marRight w:val="15"/>
                              <w:marTop w:val="15"/>
                              <w:marBottom w:val="15"/>
                              <w:divBdr>
                                <w:top w:val="none" w:sz="0" w:space="0" w:color="auto"/>
                                <w:left w:val="none" w:sz="0" w:space="0" w:color="auto"/>
                                <w:bottom w:val="none" w:sz="0" w:space="0" w:color="auto"/>
                                <w:right w:val="none" w:sz="0" w:space="0" w:color="auto"/>
                              </w:divBdr>
                              <w:divsChild>
                                <w:div w:id="1265725420">
                                  <w:marLeft w:val="0"/>
                                  <w:marRight w:val="0"/>
                                  <w:marTop w:val="0"/>
                                  <w:marBottom w:val="0"/>
                                  <w:divBdr>
                                    <w:top w:val="none" w:sz="0" w:space="0" w:color="auto"/>
                                    <w:left w:val="none" w:sz="0" w:space="0" w:color="auto"/>
                                    <w:bottom w:val="none" w:sz="0" w:space="0" w:color="auto"/>
                                    <w:right w:val="none" w:sz="0" w:space="0" w:color="auto"/>
                                  </w:divBdr>
                                  <w:divsChild>
                                    <w:div w:id="239800276">
                                      <w:marLeft w:val="0"/>
                                      <w:marRight w:val="0"/>
                                      <w:marTop w:val="0"/>
                                      <w:marBottom w:val="0"/>
                                      <w:divBdr>
                                        <w:top w:val="none" w:sz="0" w:space="0" w:color="auto"/>
                                        <w:left w:val="none" w:sz="0" w:space="0" w:color="auto"/>
                                        <w:bottom w:val="none" w:sz="0" w:space="0" w:color="auto"/>
                                        <w:right w:val="none" w:sz="0" w:space="0" w:color="auto"/>
                                      </w:divBdr>
                                      <w:divsChild>
                                        <w:div w:id="4815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5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d01.leggiditalia.it/cgi-bin/FulShow?TIPO=5&amp;NOTXT=1&amp;KEY=01LX000016022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1480</TotalTime>
  <Pages>1</Pages>
  <Words>1303</Words>
  <Characters>7431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Cerasoli</dc:creator>
  <cp:keywords/>
  <dc:description/>
  <cp:lastModifiedBy>Marianna Cerasoli</cp:lastModifiedBy>
  <cp:revision>14</cp:revision>
  <cp:lastPrinted>2014-09-04T15:14:00Z</cp:lastPrinted>
  <dcterms:created xsi:type="dcterms:W3CDTF">2014-09-01T10:28:00Z</dcterms:created>
  <dcterms:modified xsi:type="dcterms:W3CDTF">2014-10-01T10:09:00Z</dcterms:modified>
</cp:coreProperties>
</file>